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51E24DCC">
      <w:pPr>
        <w:keepNext w:val="0"/>
        <w:keepLines w:val="0"/>
        <w:pageBreakBefore w:val="0"/>
        <w:widowControl w:val="0"/>
        <w:kinsoku/>
        <w:wordWrap/>
        <w:overflowPunct/>
        <w:topLinePunct w:val="0"/>
        <w:autoSpaceDE/>
        <w:autoSpaceDN/>
        <w:bidi w:val="0"/>
        <w:adjustRightInd w:val="0"/>
        <w:snapToGrid w:val="0"/>
        <w:spacing w:line="590" w:lineRule="exact"/>
        <w:jc w:val="both"/>
        <w:textAlignment w:val="auto"/>
        <w:rPr>
          <w:rFonts w:hint="eastAsia" w:ascii="方正小标宋简体" w:hAnsi="方正小标宋简体" w:eastAsia="方正小标宋简体" w:cs="方正小标宋简体"/>
          <w:sz w:val="44"/>
          <w:szCs w:val="44"/>
        </w:rPr>
      </w:pPr>
      <w:r>
        <w:rPr>
          <w:rFonts w:hint="eastAsia" w:ascii="黑体" w:hAnsi="黑体" w:eastAsia="黑体" w:cs="黑体"/>
          <w:color w:val="auto"/>
          <w:sz w:val="32"/>
          <w:szCs w:val="32"/>
          <w:lang w:eastAsia="zh-CN"/>
        </w:rPr>
        <w:t>附件</w:t>
      </w:r>
      <w:r>
        <w:rPr>
          <w:rFonts w:hint="eastAsia" w:ascii="黑体" w:hAnsi="黑体" w:eastAsia="黑体" w:cs="黑体"/>
          <w:color w:val="auto"/>
          <w:sz w:val="32"/>
          <w:szCs w:val="32"/>
          <w:lang w:val="en-US" w:eastAsia="zh-CN"/>
        </w:rPr>
        <w:t>3</w:t>
      </w:r>
    </w:p>
    <w:p w14:paraId="46DFAC59">
      <w:pPr>
        <w:keepNext w:val="0"/>
        <w:keepLines w:val="0"/>
        <w:pageBreakBefore w:val="0"/>
        <w:widowControl w:val="0"/>
        <w:kinsoku/>
        <w:wordWrap/>
        <w:overflowPunct/>
        <w:topLinePunct w:val="0"/>
        <w:autoSpaceDE/>
        <w:autoSpaceDN/>
        <w:bidi w:val="0"/>
        <w:adjustRightInd w:val="0"/>
        <w:snapToGrid w:val="0"/>
        <w:spacing w:line="590" w:lineRule="exact"/>
        <w:jc w:val="center"/>
        <w:textAlignment w:val="auto"/>
        <w:rPr>
          <w:rFonts w:hint="eastAsia" w:ascii="方正小标宋简体" w:hAnsi="方正小标宋简体" w:eastAsia="方正小标宋简体" w:cs="方正小标宋简体"/>
          <w:sz w:val="44"/>
          <w:szCs w:val="44"/>
        </w:rPr>
      </w:pPr>
    </w:p>
    <w:p w14:paraId="5CCBC0EF">
      <w:pPr>
        <w:keepNext w:val="0"/>
        <w:keepLines w:val="0"/>
        <w:pageBreakBefore w:val="0"/>
        <w:widowControl w:val="0"/>
        <w:kinsoku/>
        <w:wordWrap/>
        <w:overflowPunct/>
        <w:topLinePunct w:val="0"/>
        <w:autoSpaceDE/>
        <w:autoSpaceDN/>
        <w:bidi w:val="0"/>
        <w:adjustRightInd w:val="0"/>
        <w:snapToGrid w:val="0"/>
        <w:spacing w:line="590" w:lineRule="exact"/>
        <w:jc w:val="center"/>
        <w:textAlignment w:val="auto"/>
        <w:rPr>
          <w:rFonts w:hint="eastAsia" w:ascii="方正小标宋简体" w:hAnsi="方正小标宋简体" w:eastAsia="方正小标宋简体" w:cs="方正小标宋简体"/>
          <w:sz w:val="44"/>
          <w:szCs w:val="44"/>
        </w:rPr>
      </w:pPr>
      <w:bookmarkStart w:id="1" w:name="_GoBack"/>
      <w:r>
        <w:rPr>
          <w:rFonts w:hint="eastAsia" w:ascii="方正小标宋简体" w:hAnsi="方正小标宋简体" w:eastAsia="方正小标宋简体" w:cs="方正小标宋简体"/>
          <w:sz w:val="44"/>
          <w:szCs w:val="44"/>
        </w:rPr>
        <w:t>番茄潜叶蛾调查方法与绿色防控技术方案</w:t>
      </w:r>
      <w:bookmarkEnd w:id="1"/>
    </w:p>
    <w:p w14:paraId="0562B0ED">
      <w:pPr>
        <w:keepNext w:val="0"/>
        <w:keepLines w:val="0"/>
        <w:pageBreakBefore w:val="0"/>
        <w:widowControl w:val="0"/>
        <w:kinsoku/>
        <w:wordWrap/>
        <w:overflowPunct/>
        <w:topLinePunct w:val="0"/>
        <w:autoSpaceDE/>
        <w:autoSpaceDN/>
        <w:bidi w:val="0"/>
        <w:adjustRightInd w:val="0"/>
        <w:snapToGrid w:val="0"/>
        <w:spacing w:line="590" w:lineRule="exact"/>
        <w:ind w:firstLine="420" w:firstLineChars="200"/>
        <w:textAlignment w:val="auto"/>
        <w:rPr>
          <w:rFonts w:hint="eastAsia" w:ascii="仿宋_GB2312" w:hAnsi="仿宋_GB2312" w:eastAsia="仿宋_GB2312" w:cs="仿宋_GB2312"/>
          <w:szCs w:val="32"/>
        </w:rPr>
      </w:pPr>
    </w:p>
    <w:p w14:paraId="286EEED5">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番茄潜叶蛾（</w:t>
      </w:r>
      <w:r>
        <w:rPr>
          <w:rFonts w:hint="eastAsia" w:ascii="仿宋_GB2312" w:hAnsi="仿宋_GB2312" w:eastAsia="仿宋_GB2312" w:cs="仿宋_GB2312"/>
          <w:i/>
          <w:iCs/>
          <w:sz w:val="32"/>
          <w:szCs w:val="32"/>
        </w:rPr>
        <w:t>Tuta absoluta</w:t>
      </w:r>
      <w:r>
        <w:rPr>
          <w:rFonts w:hint="eastAsia" w:ascii="仿宋_GB2312" w:hAnsi="仿宋_GB2312" w:eastAsia="仿宋_GB2312" w:cs="仿宋_GB2312"/>
          <w:sz w:val="32"/>
          <w:szCs w:val="32"/>
        </w:rPr>
        <w:t>（Meyrick））隶属于鳞翅目麦蛾科茄麦蛾属，是一种对番茄和其他茄科作物具有毁灭性危害的世界性入侵害虫，可危害茄科、藜科、豆科、葫芦科、大戟科、菊科、旋花科等11科50种植物。原产于南美洲，2017年8月首次传入我国，截至2023年底已在全国20多个省（区、市）发生。2023年11月，农业农村部将番茄潜叶蛾纳入《一类农作物病虫害名录》。为有效控制番茄潜叶蛾发生危害，确保番茄等作物生产和质量安全，制定本方案。</w:t>
      </w:r>
    </w:p>
    <w:p w14:paraId="70690530">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jc w:val="left"/>
        <w:textAlignment w:val="auto"/>
        <w:rPr>
          <w:rFonts w:hint="eastAsia" w:ascii="黑体" w:hAnsi="黑体" w:eastAsia="黑体" w:cs="黑体"/>
          <w:sz w:val="32"/>
          <w:szCs w:val="32"/>
        </w:rPr>
      </w:pPr>
      <w:r>
        <w:rPr>
          <w:rFonts w:hint="eastAsia" w:ascii="黑体" w:hAnsi="黑体" w:eastAsia="黑体" w:cs="黑体"/>
          <w:sz w:val="32"/>
          <w:szCs w:val="32"/>
        </w:rPr>
        <w:t>一、番茄潜叶蛾特性</w:t>
      </w:r>
    </w:p>
    <w:p w14:paraId="65CD9F47">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color w:val="000000"/>
          <w:sz w:val="32"/>
          <w:szCs w:val="32"/>
        </w:rPr>
        <w:t>（一）形态特征</w:t>
      </w:r>
      <w:r>
        <w:rPr>
          <w:rFonts w:hint="eastAsia" w:ascii="楷体_GB2312" w:hAnsi="楷体_GB2312" w:eastAsia="楷体_GB2312" w:cs="楷体_GB2312"/>
          <w:color w:val="000000"/>
          <w:sz w:val="32"/>
          <w:szCs w:val="32"/>
          <w:lang w:eastAsia="zh-CN"/>
        </w:rPr>
        <w:t>。</w:t>
      </w:r>
      <w:r>
        <w:rPr>
          <w:rFonts w:hint="eastAsia" w:ascii="仿宋_GB2312" w:hAnsi="仿宋_GB2312" w:eastAsia="仿宋_GB2312" w:cs="仿宋_GB2312"/>
          <w:sz w:val="32"/>
          <w:szCs w:val="32"/>
        </w:rPr>
        <w:t>番茄潜叶蛾属完全变态昆虫，生活史分卵、幼虫、蛹、成虫4个虫态。</w:t>
      </w:r>
    </w:p>
    <w:p w14:paraId="04FA3C4B">
      <w:pPr>
        <w:keepNext w:val="0"/>
        <w:keepLines w:val="0"/>
        <w:pageBreakBefore w:val="0"/>
        <w:widowControl w:val="0"/>
        <w:kinsoku/>
        <w:wordWrap/>
        <w:overflowPunct/>
        <w:topLinePunct w:val="0"/>
        <w:autoSpaceDE/>
        <w:autoSpaceDN/>
        <w:bidi w:val="0"/>
        <w:adjustRightInd w:val="0"/>
        <w:snapToGrid w:val="0"/>
        <w:spacing w:line="59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卵：</w:t>
      </w:r>
      <w:r>
        <w:rPr>
          <w:rFonts w:hint="eastAsia" w:ascii="仿宋_GB2312" w:hAnsi="仿宋_GB2312" w:eastAsia="仿宋_GB2312" w:cs="仿宋_GB2312"/>
          <w:sz w:val="32"/>
          <w:szCs w:val="32"/>
        </w:rPr>
        <w:t>圆柱形，具光泽，长0.36mm，宽0.22mm。初产奶黄色，后逐渐变为淡黄色、棕黄色，近孵化时有棕红色眼点2个。</w:t>
      </w:r>
    </w:p>
    <w:p w14:paraId="5AFDD8F7">
      <w:pPr>
        <w:keepNext w:val="0"/>
        <w:keepLines w:val="0"/>
        <w:pageBreakBefore w:val="0"/>
        <w:widowControl w:val="0"/>
        <w:kinsoku/>
        <w:wordWrap/>
        <w:overflowPunct/>
        <w:topLinePunct w:val="0"/>
        <w:autoSpaceDE/>
        <w:autoSpaceDN/>
        <w:bidi w:val="0"/>
        <w:adjustRightInd w:val="0"/>
        <w:snapToGrid w:val="0"/>
        <w:spacing w:line="59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幼虫：</w:t>
      </w:r>
      <w:r>
        <w:rPr>
          <w:rFonts w:hint="eastAsia" w:ascii="仿宋_GB2312" w:hAnsi="仿宋_GB2312" w:eastAsia="仿宋_GB2312" w:cs="仿宋_GB2312"/>
          <w:sz w:val="32"/>
          <w:szCs w:val="32"/>
        </w:rPr>
        <w:t>共4个龄期。初孵幼虫为奶黄色、淡黄白色，取食后为淡绿色，头部色暗，体长0.4-0.6mm，后期长1.8mm。2龄幼虫淡绿色，体长2-3mm。3-4龄幼虫体色为绿色、淡黄绿色或淡粉红色，3龄幼虫体长3-4mm，4龄幼虫体长5-7mm。</w:t>
      </w:r>
    </w:p>
    <w:p w14:paraId="10A183AF">
      <w:pPr>
        <w:keepNext w:val="0"/>
        <w:keepLines w:val="0"/>
        <w:pageBreakBefore w:val="0"/>
        <w:widowControl w:val="0"/>
        <w:kinsoku/>
        <w:wordWrap/>
        <w:overflowPunct/>
        <w:topLinePunct w:val="0"/>
        <w:autoSpaceDE/>
        <w:autoSpaceDN/>
        <w:bidi w:val="0"/>
        <w:adjustRightInd w:val="0"/>
        <w:snapToGrid w:val="0"/>
        <w:spacing w:line="59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蛹：</w:t>
      </w:r>
      <w:r>
        <w:rPr>
          <w:rFonts w:hint="eastAsia" w:ascii="仿宋_GB2312" w:hAnsi="仿宋_GB2312" w:eastAsia="仿宋_GB2312" w:cs="仿宋_GB2312"/>
          <w:sz w:val="32"/>
          <w:szCs w:val="32"/>
        </w:rPr>
        <w:t>初期为翠绿色、棕绿色，后变为棕色，近羽化时为黑褐色。复眼为棕红色或黑褐色。体长3.8-4.5mm。</w:t>
      </w:r>
    </w:p>
    <w:p w14:paraId="50429597">
      <w:pPr>
        <w:keepNext w:val="0"/>
        <w:keepLines w:val="0"/>
        <w:pageBreakBefore w:val="0"/>
        <w:widowControl w:val="0"/>
        <w:kinsoku/>
        <w:wordWrap/>
        <w:overflowPunct/>
        <w:topLinePunct w:val="0"/>
        <w:autoSpaceDE/>
        <w:autoSpaceDN/>
        <w:bidi w:val="0"/>
        <w:adjustRightInd w:val="0"/>
        <w:snapToGrid w:val="0"/>
        <w:spacing w:line="59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成虫：</w:t>
      </w:r>
      <w:r>
        <w:rPr>
          <w:rFonts w:hint="eastAsia" w:ascii="仿宋_GB2312" w:hAnsi="仿宋_GB2312" w:eastAsia="仿宋_GB2312" w:cs="仿宋_GB2312"/>
          <w:sz w:val="32"/>
          <w:szCs w:val="32"/>
        </w:rPr>
        <w:t>体长6-7mm，翅展9-13mm，浅灰色或灰褐色，鳞片银灰色，触角丝状，下唇须长，向上弯曲，足细长。腹面具“八”字形黑色斑纹。</w:t>
      </w:r>
    </w:p>
    <w:tbl>
      <w:tblPr>
        <w:tblStyle w:val="8"/>
        <w:tblW w:w="0" w:type="auto"/>
        <w:jc w:val="center"/>
        <w:tblLayout w:type="fixed"/>
        <w:tblCellMar>
          <w:top w:w="0" w:type="dxa"/>
          <w:left w:w="108" w:type="dxa"/>
          <w:bottom w:w="0" w:type="dxa"/>
          <w:right w:w="108" w:type="dxa"/>
        </w:tblCellMar>
      </w:tblPr>
      <w:tblGrid>
        <w:gridCol w:w="3168"/>
        <w:gridCol w:w="3331"/>
      </w:tblGrid>
      <w:tr w14:paraId="2EA6FC9F">
        <w:tblPrEx>
          <w:tblCellMar>
            <w:top w:w="0" w:type="dxa"/>
            <w:left w:w="108" w:type="dxa"/>
            <w:bottom w:w="0" w:type="dxa"/>
            <w:right w:w="108" w:type="dxa"/>
          </w:tblCellMar>
        </w:tblPrEx>
        <w:trPr>
          <w:trHeight w:val="2858" w:hRule="atLeast"/>
          <w:jc w:val="center"/>
        </w:trPr>
        <w:tc>
          <w:tcPr>
            <w:tcW w:w="3168" w:type="dxa"/>
            <w:noWrap w:val="0"/>
            <w:vAlign w:val="center"/>
          </w:tcPr>
          <w:p w14:paraId="34A16284">
            <w:pPr>
              <w:jc w:val="center"/>
              <w:rPr>
                <w:rFonts w:hint="eastAsia"/>
              </w:rPr>
            </w:pPr>
            <w:r>
              <w:rPr>
                <w:sz w:val="21"/>
              </w:rPr>
              <mc:AlternateContent>
                <mc:Choice Requires="wps">
                  <w:drawing>
                    <wp:anchor distT="0" distB="0" distL="114300" distR="114300" simplePos="0" relativeHeight="251659264" behindDoc="0" locked="0" layoutInCell="1" allowOverlap="1">
                      <wp:simplePos x="0" y="0"/>
                      <wp:positionH relativeFrom="column">
                        <wp:posOffset>12700</wp:posOffset>
                      </wp:positionH>
                      <wp:positionV relativeFrom="paragraph">
                        <wp:posOffset>1317625</wp:posOffset>
                      </wp:positionV>
                      <wp:extent cx="351790" cy="437515"/>
                      <wp:effectExtent l="0" t="0" r="0" b="0"/>
                      <wp:wrapNone/>
                      <wp:docPr id="1" name="文本框 39"/>
                      <wp:cNvGraphicFramePr/>
                      <a:graphic xmlns:a="http://schemas.openxmlformats.org/drawingml/2006/main">
                        <a:graphicData uri="http://schemas.microsoft.com/office/word/2010/wordprocessingShape">
                          <wps:wsp>
                            <wps:cNvSpPr txBox="1"/>
                            <wps:spPr>
                              <a:xfrm>
                                <a:off x="0" y="0"/>
                                <a:ext cx="351790" cy="437515"/>
                              </a:xfrm>
                              <a:prstGeom prst="rect">
                                <a:avLst/>
                              </a:prstGeom>
                              <a:noFill/>
                              <a:ln>
                                <a:noFill/>
                              </a:ln>
                            </wps:spPr>
                            <wps:txbx>
                              <w:txbxContent>
                                <w:p w14:paraId="2126AC22">
                                  <w:pPr>
                                    <w:jc w:val="center"/>
                                    <w:rPr>
                                      <w:rFonts w:hint="default" w:eastAsia="宋体"/>
                                      <w:color w:val="FFFFFF"/>
                                      <w:sz w:val="28"/>
                                      <w:szCs w:val="28"/>
                                      <w:lang w:val="en-US" w:eastAsia="zh-CN"/>
                                    </w:rPr>
                                  </w:pPr>
                                  <w:r>
                                    <w:rPr>
                                      <w:rFonts w:hint="eastAsia"/>
                                      <w:color w:val="FFFFFF"/>
                                      <w:sz w:val="28"/>
                                      <w:szCs w:val="28"/>
                                      <w:lang w:val="en-US" w:eastAsia="zh-CN"/>
                                    </w:rPr>
                                    <w:t>A</w:t>
                                  </w:r>
                                </w:p>
                              </w:txbxContent>
                            </wps:txbx>
                            <wps:bodyPr wrap="square" upright="1"/>
                          </wps:wsp>
                        </a:graphicData>
                      </a:graphic>
                    </wp:anchor>
                  </w:drawing>
                </mc:Choice>
                <mc:Fallback>
                  <w:pict>
                    <v:shape id="文本框 39" o:spid="_x0000_s1026" o:spt="202" type="#_x0000_t202" style="position:absolute;left:0pt;margin-left:1pt;margin-top:103.75pt;height:34.45pt;width:27.7pt;z-index:251659264;mso-width-relative:page;mso-height-relative:page;" filled="f" stroked="f" coordsize="21600,21600" o:gfxdata="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Fpzu61gAAAAgBAAAPAAAAAAAAAAEAIAAAACIAAABkcnMvZG93bnJldi54bWxQSwECFAAUAAAA&#10;CACHTuJAhycZwLcBAABcAwAADgAAAAAAAAABACAAAAAlAQAAZHJzL2Uyb0RvYy54bWxQSwUGAAAA&#10;AAYABgBZAQAATgUAAAAA&#10;">
                      <v:fill on="f" focussize="0,0"/>
                      <v:stroke on="f"/>
                      <v:imagedata o:title=""/>
                      <o:lock v:ext="edit" aspectratio="f"/>
                      <v:textbox>
                        <w:txbxContent>
                          <w:p w14:paraId="2126AC22">
                            <w:pPr>
                              <w:jc w:val="center"/>
                              <w:rPr>
                                <w:rFonts w:hint="default" w:eastAsia="宋体"/>
                                <w:color w:val="FFFFFF"/>
                                <w:sz w:val="28"/>
                                <w:szCs w:val="28"/>
                                <w:lang w:val="en-US" w:eastAsia="zh-CN"/>
                              </w:rPr>
                            </w:pPr>
                            <w:r>
                              <w:rPr>
                                <w:rFonts w:hint="eastAsia"/>
                                <w:color w:val="FFFFFF"/>
                                <w:sz w:val="28"/>
                                <w:szCs w:val="28"/>
                                <w:lang w:val="en-US" w:eastAsia="zh-CN"/>
                              </w:rPr>
                              <w:t>A</w:t>
                            </w:r>
                          </w:p>
                        </w:txbxContent>
                      </v:textbox>
                    </v:shape>
                  </w:pict>
                </mc:Fallback>
              </mc:AlternateContent>
            </w:r>
            <w:r>
              <w:drawing>
                <wp:inline distT="0" distB="0" distL="114300" distR="114300">
                  <wp:extent cx="1866265" cy="1628775"/>
                  <wp:effectExtent l="0" t="0" r="635" b="952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5"/>
                          <a:stretch>
                            <a:fillRect/>
                          </a:stretch>
                        </pic:blipFill>
                        <pic:spPr>
                          <a:xfrm>
                            <a:off x="0" y="0"/>
                            <a:ext cx="1866265" cy="1628775"/>
                          </a:xfrm>
                          <a:prstGeom prst="rect">
                            <a:avLst/>
                          </a:prstGeom>
                          <a:noFill/>
                          <a:ln>
                            <a:noFill/>
                          </a:ln>
                        </pic:spPr>
                      </pic:pic>
                    </a:graphicData>
                  </a:graphic>
                </wp:inline>
              </w:drawing>
            </w:r>
          </w:p>
        </w:tc>
        <w:tc>
          <w:tcPr>
            <w:tcW w:w="3331" w:type="dxa"/>
            <w:noWrap w:val="0"/>
            <w:vAlign w:val="center"/>
          </w:tcPr>
          <w:p w14:paraId="19EDBF73">
            <w:pPr>
              <w:jc w:val="center"/>
              <w:rPr>
                <w:rFonts w:hint="eastAsia"/>
              </w:rPr>
            </w:pPr>
            <w:r>
              <w:rPr>
                <w:sz w:val="21"/>
              </w:rPr>
              <mc:AlternateContent>
                <mc:Choice Requires="wps">
                  <w:drawing>
                    <wp:anchor distT="0" distB="0" distL="114300" distR="114300" simplePos="0" relativeHeight="251660288" behindDoc="0" locked="0" layoutInCell="1" allowOverlap="1">
                      <wp:simplePos x="0" y="0"/>
                      <wp:positionH relativeFrom="column">
                        <wp:posOffset>10795</wp:posOffset>
                      </wp:positionH>
                      <wp:positionV relativeFrom="paragraph">
                        <wp:posOffset>1289050</wp:posOffset>
                      </wp:positionV>
                      <wp:extent cx="351790" cy="437515"/>
                      <wp:effectExtent l="0" t="0" r="0" b="0"/>
                      <wp:wrapNone/>
                      <wp:docPr id="2" name="文本框 40"/>
                      <wp:cNvGraphicFramePr/>
                      <a:graphic xmlns:a="http://schemas.openxmlformats.org/drawingml/2006/main">
                        <a:graphicData uri="http://schemas.microsoft.com/office/word/2010/wordprocessingShape">
                          <wps:wsp>
                            <wps:cNvSpPr txBox="1"/>
                            <wps:spPr>
                              <a:xfrm>
                                <a:off x="0" y="0"/>
                                <a:ext cx="351790" cy="437515"/>
                              </a:xfrm>
                              <a:prstGeom prst="rect">
                                <a:avLst/>
                              </a:prstGeom>
                              <a:noFill/>
                              <a:ln>
                                <a:noFill/>
                              </a:ln>
                            </wps:spPr>
                            <wps:txbx>
                              <w:txbxContent>
                                <w:p w14:paraId="63C70066">
                                  <w:pPr>
                                    <w:jc w:val="center"/>
                                    <w:rPr>
                                      <w:rFonts w:hint="default" w:eastAsia="宋体"/>
                                      <w:color w:val="auto"/>
                                      <w:sz w:val="28"/>
                                      <w:szCs w:val="28"/>
                                      <w:lang w:val="en-US" w:eastAsia="zh-CN"/>
                                    </w:rPr>
                                  </w:pPr>
                                  <w:r>
                                    <w:rPr>
                                      <w:rFonts w:hint="eastAsia"/>
                                      <w:color w:val="auto"/>
                                      <w:sz w:val="28"/>
                                      <w:szCs w:val="28"/>
                                      <w:lang w:val="en-US" w:eastAsia="zh-CN"/>
                                    </w:rPr>
                                    <w:t>B</w:t>
                                  </w:r>
                                </w:p>
                              </w:txbxContent>
                            </wps:txbx>
                            <wps:bodyPr wrap="square" upright="1"/>
                          </wps:wsp>
                        </a:graphicData>
                      </a:graphic>
                    </wp:anchor>
                  </w:drawing>
                </mc:Choice>
                <mc:Fallback>
                  <w:pict>
                    <v:shape id="文本框 40" o:spid="_x0000_s1026" o:spt="202" type="#_x0000_t202" style="position:absolute;left:0pt;margin-left:0.85pt;margin-top:101.5pt;height:34.45pt;width:27.7pt;z-index:251660288;mso-width-relative:page;mso-height-relative:page;" filled="f" stroked="f" coordsize="21600,21600" o:gfxdata="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7jsf9NUAAAAIAQAADwAAAAAAAAABACAAAAAiAAAAZHJzL2Rvd25yZXYueG1sUEsBAhQAFAAAAAgA&#10;h07iQDlpYsa2AQAAXAMAAA4AAAAAAAAAAQAgAAAAJAEAAGRycy9lMm9Eb2MueG1sUEsFBgAAAAAG&#10;AAYAWQEAAEwFAAAAAA==&#10;">
                      <v:fill on="f" focussize="0,0"/>
                      <v:stroke on="f"/>
                      <v:imagedata o:title=""/>
                      <o:lock v:ext="edit" aspectratio="f"/>
                      <v:textbox>
                        <w:txbxContent>
                          <w:p w14:paraId="63C70066">
                            <w:pPr>
                              <w:jc w:val="center"/>
                              <w:rPr>
                                <w:rFonts w:hint="default" w:eastAsia="宋体"/>
                                <w:color w:val="auto"/>
                                <w:sz w:val="28"/>
                                <w:szCs w:val="28"/>
                                <w:lang w:val="en-US" w:eastAsia="zh-CN"/>
                              </w:rPr>
                            </w:pPr>
                            <w:r>
                              <w:rPr>
                                <w:rFonts w:hint="eastAsia"/>
                                <w:color w:val="auto"/>
                                <w:sz w:val="28"/>
                                <w:szCs w:val="28"/>
                                <w:lang w:val="en-US" w:eastAsia="zh-CN"/>
                              </w:rPr>
                              <w:t>B</w:t>
                            </w:r>
                          </w:p>
                        </w:txbxContent>
                      </v:textbox>
                    </v:shape>
                  </w:pict>
                </mc:Fallback>
              </mc:AlternateContent>
            </w:r>
            <w:r>
              <w:drawing>
                <wp:inline distT="0" distB="0" distL="114300" distR="114300">
                  <wp:extent cx="1978025" cy="1584960"/>
                  <wp:effectExtent l="0" t="0" r="3175" b="1524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6"/>
                          <a:stretch>
                            <a:fillRect/>
                          </a:stretch>
                        </pic:blipFill>
                        <pic:spPr>
                          <a:xfrm>
                            <a:off x="0" y="0"/>
                            <a:ext cx="1978025" cy="1584960"/>
                          </a:xfrm>
                          <a:prstGeom prst="rect">
                            <a:avLst/>
                          </a:prstGeom>
                          <a:noFill/>
                          <a:ln>
                            <a:noFill/>
                          </a:ln>
                        </pic:spPr>
                      </pic:pic>
                    </a:graphicData>
                  </a:graphic>
                </wp:inline>
              </w:drawing>
            </w:r>
          </w:p>
        </w:tc>
      </w:tr>
      <w:tr w14:paraId="528741D9">
        <w:tblPrEx>
          <w:tblCellMar>
            <w:top w:w="0" w:type="dxa"/>
            <w:left w:w="108" w:type="dxa"/>
            <w:bottom w:w="0" w:type="dxa"/>
            <w:right w:w="108" w:type="dxa"/>
          </w:tblCellMar>
        </w:tblPrEx>
        <w:trPr>
          <w:trHeight w:val="2866" w:hRule="atLeast"/>
          <w:jc w:val="center"/>
        </w:trPr>
        <w:tc>
          <w:tcPr>
            <w:tcW w:w="3168" w:type="dxa"/>
            <w:noWrap w:val="0"/>
            <w:vAlign w:val="center"/>
          </w:tcPr>
          <w:p w14:paraId="36CFD796">
            <w:pPr>
              <w:jc w:val="center"/>
              <w:rPr>
                <w:rFonts w:hint="eastAsia"/>
              </w:rPr>
            </w:pPr>
            <w:r>
              <w:rPr>
                <w:sz w:val="21"/>
              </w:rPr>
              <mc:AlternateContent>
                <mc:Choice Requires="wps">
                  <w:drawing>
                    <wp:anchor distT="0" distB="0" distL="114300" distR="114300" simplePos="0" relativeHeight="251661312" behindDoc="0" locked="0" layoutInCell="1" allowOverlap="1">
                      <wp:simplePos x="0" y="0"/>
                      <wp:positionH relativeFrom="column">
                        <wp:posOffset>12700</wp:posOffset>
                      </wp:positionH>
                      <wp:positionV relativeFrom="paragraph">
                        <wp:posOffset>1339850</wp:posOffset>
                      </wp:positionV>
                      <wp:extent cx="351790" cy="437515"/>
                      <wp:effectExtent l="0" t="0" r="0" b="0"/>
                      <wp:wrapNone/>
                      <wp:docPr id="3" name="文本框 41"/>
                      <wp:cNvGraphicFramePr/>
                      <a:graphic xmlns:a="http://schemas.openxmlformats.org/drawingml/2006/main">
                        <a:graphicData uri="http://schemas.microsoft.com/office/word/2010/wordprocessingShape">
                          <wps:wsp>
                            <wps:cNvSpPr txBox="1"/>
                            <wps:spPr>
                              <a:xfrm>
                                <a:off x="0" y="0"/>
                                <a:ext cx="351790" cy="437515"/>
                              </a:xfrm>
                              <a:prstGeom prst="rect">
                                <a:avLst/>
                              </a:prstGeom>
                              <a:noFill/>
                              <a:ln>
                                <a:noFill/>
                              </a:ln>
                            </wps:spPr>
                            <wps:txbx>
                              <w:txbxContent>
                                <w:p w14:paraId="464D9140">
                                  <w:pPr>
                                    <w:jc w:val="center"/>
                                    <w:rPr>
                                      <w:rFonts w:hint="default" w:eastAsia="宋体"/>
                                      <w:color w:val="FFFFFF"/>
                                      <w:sz w:val="28"/>
                                      <w:szCs w:val="28"/>
                                      <w:lang w:val="en-US" w:eastAsia="zh-CN"/>
                                    </w:rPr>
                                  </w:pPr>
                                  <w:r>
                                    <w:rPr>
                                      <w:rFonts w:hint="eastAsia" w:eastAsia="宋体"/>
                                      <w:color w:val="FFFFFF"/>
                                      <w:sz w:val="28"/>
                                      <w:szCs w:val="28"/>
                                      <w:lang w:val="en-US" w:eastAsia="zh-CN"/>
                                    </w:rPr>
                                    <w:t>C</w:t>
                                  </w:r>
                                </w:p>
                              </w:txbxContent>
                            </wps:txbx>
                            <wps:bodyPr wrap="square" upright="1"/>
                          </wps:wsp>
                        </a:graphicData>
                      </a:graphic>
                    </wp:anchor>
                  </w:drawing>
                </mc:Choice>
                <mc:Fallback>
                  <w:pict>
                    <v:shape id="文本框 41" o:spid="_x0000_s1026" o:spt="202" type="#_x0000_t202" style="position:absolute;left:0pt;margin-left:1pt;margin-top:105.5pt;height:34.45pt;width:27.7pt;z-index:251661312;mso-width-relative:page;mso-height-relative:page;" filled="f" stroked="f" coordsize="21600,21600" o:gfxdata="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7SOVl1QAAAAgBAAAPAAAAAAAAAAEAIAAAACIAAABkcnMvZG93bnJldi54bWxQSwECFAAUAAAA&#10;CACHTuJAqaJarbgBAABcAwAADgAAAAAAAAABACAAAAAkAQAAZHJzL2Uyb0RvYy54bWxQSwUGAAAA&#10;AAYABgBZAQAATgUAAAAA&#10;">
                      <v:fill on="f" focussize="0,0"/>
                      <v:stroke on="f"/>
                      <v:imagedata o:title=""/>
                      <o:lock v:ext="edit" aspectratio="f"/>
                      <v:textbox>
                        <w:txbxContent>
                          <w:p w14:paraId="464D9140">
                            <w:pPr>
                              <w:jc w:val="center"/>
                              <w:rPr>
                                <w:rFonts w:hint="default" w:eastAsia="宋体"/>
                                <w:color w:val="FFFFFF"/>
                                <w:sz w:val="28"/>
                                <w:szCs w:val="28"/>
                                <w:lang w:val="en-US" w:eastAsia="zh-CN"/>
                              </w:rPr>
                            </w:pPr>
                            <w:r>
                              <w:rPr>
                                <w:rFonts w:hint="eastAsia" w:eastAsia="宋体"/>
                                <w:color w:val="FFFFFF"/>
                                <w:sz w:val="28"/>
                                <w:szCs w:val="28"/>
                                <w:lang w:val="en-US" w:eastAsia="zh-CN"/>
                              </w:rPr>
                              <w:t>C</w:t>
                            </w:r>
                          </w:p>
                        </w:txbxContent>
                      </v:textbox>
                    </v:shape>
                  </w:pict>
                </mc:Fallback>
              </mc:AlternateContent>
            </w:r>
            <w:r>
              <w:drawing>
                <wp:inline distT="0" distB="0" distL="114300" distR="114300">
                  <wp:extent cx="1874520" cy="1683385"/>
                  <wp:effectExtent l="0" t="0" r="11430" b="1206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7"/>
                          <a:stretch>
                            <a:fillRect/>
                          </a:stretch>
                        </pic:blipFill>
                        <pic:spPr>
                          <a:xfrm>
                            <a:off x="0" y="0"/>
                            <a:ext cx="1874520" cy="1683385"/>
                          </a:xfrm>
                          <a:prstGeom prst="rect">
                            <a:avLst/>
                          </a:prstGeom>
                          <a:noFill/>
                          <a:ln>
                            <a:noFill/>
                          </a:ln>
                        </pic:spPr>
                      </pic:pic>
                    </a:graphicData>
                  </a:graphic>
                </wp:inline>
              </w:drawing>
            </w:r>
          </w:p>
        </w:tc>
        <w:tc>
          <w:tcPr>
            <w:tcW w:w="3331" w:type="dxa"/>
            <w:noWrap w:val="0"/>
            <w:vAlign w:val="center"/>
          </w:tcPr>
          <w:p w14:paraId="16D97EE0">
            <w:pPr>
              <w:jc w:val="center"/>
              <w:rPr>
                <w:rFonts w:hint="eastAsia"/>
              </w:rPr>
            </w:pPr>
            <w:r>
              <w:rPr>
                <w:sz w:val="21"/>
              </w:rPr>
              <mc:AlternateContent>
                <mc:Choice Requires="wps">
                  <w:drawing>
                    <wp:anchor distT="0" distB="0" distL="114300" distR="114300" simplePos="0" relativeHeight="251662336" behindDoc="0" locked="0" layoutInCell="1" allowOverlap="1">
                      <wp:simplePos x="0" y="0"/>
                      <wp:positionH relativeFrom="column">
                        <wp:posOffset>77470</wp:posOffset>
                      </wp:positionH>
                      <wp:positionV relativeFrom="paragraph">
                        <wp:posOffset>1377950</wp:posOffset>
                      </wp:positionV>
                      <wp:extent cx="351790" cy="437515"/>
                      <wp:effectExtent l="0" t="0" r="0" b="0"/>
                      <wp:wrapNone/>
                      <wp:docPr id="4" name="文本框 42"/>
                      <wp:cNvGraphicFramePr/>
                      <a:graphic xmlns:a="http://schemas.openxmlformats.org/drawingml/2006/main">
                        <a:graphicData uri="http://schemas.microsoft.com/office/word/2010/wordprocessingShape">
                          <wps:wsp>
                            <wps:cNvSpPr txBox="1"/>
                            <wps:spPr>
                              <a:xfrm>
                                <a:off x="0" y="0"/>
                                <a:ext cx="351790" cy="437515"/>
                              </a:xfrm>
                              <a:prstGeom prst="rect">
                                <a:avLst/>
                              </a:prstGeom>
                              <a:noFill/>
                              <a:ln>
                                <a:noFill/>
                              </a:ln>
                            </wps:spPr>
                            <wps:txbx>
                              <w:txbxContent>
                                <w:p w14:paraId="49DFDB41">
                                  <w:pPr>
                                    <w:jc w:val="center"/>
                                    <w:rPr>
                                      <w:rFonts w:hint="default" w:eastAsia="宋体"/>
                                      <w:color w:val="FFFFFF"/>
                                      <w:sz w:val="28"/>
                                      <w:szCs w:val="28"/>
                                      <w:lang w:val="en-US" w:eastAsia="zh-CN"/>
                                    </w:rPr>
                                  </w:pPr>
                                  <w:r>
                                    <w:rPr>
                                      <w:rFonts w:hint="eastAsia" w:eastAsia="宋体"/>
                                      <w:color w:val="FFFFFF"/>
                                      <w:sz w:val="28"/>
                                      <w:szCs w:val="28"/>
                                      <w:lang w:val="en-US" w:eastAsia="zh-CN"/>
                                    </w:rPr>
                                    <w:t>D</w:t>
                                  </w:r>
                                </w:p>
                              </w:txbxContent>
                            </wps:txbx>
                            <wps:bodyPr wrap="square" upright="1"/>
                          </wps:wsp>
                        </a:graphicData>
                      </a:graphic>
                    </wp:anchor>
                  </w:drawing>
                </mc:Choice>
                <mc:Fallback>
                  <w:pict>
                    <v:shape id="文本框 42" o:spid="_x0000_s1026" o:spt="202" type="#_x0000_t202" style="position:absolute;left:0pt;margin-left:6.1pt;margin-top:108.5pt;height:34.45pt;width:27.7pt;z-index:251662336;mso-width-relative:page;mso-height-relative:page;" filled="f" stroked="f" coordsize="21600,21600" o:gfxdata="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AaMP11gAAAAkBAAAPAAAAAAAAAAEAIAAAACIAAABkcnMvZG93bnJldi54bWxQSwECFAAUAAAA&#10;CACHTuJA6ayPHLcBAABcAwAADgAAAAAAAAABACAAAAAlAQAAZHJzL2Uyb0RvYy54bWxQSwUGAAAA&#10;AAYABgBZAQAATgUAAAAA&#10;">
                      <v:fill on="f" focussize="0,0"/>
                      <v:stroke on="f"/>
                      <v:imagedata o:title=""/>
                      <o:lock v:ext="edit" aspectratio="f"/>
                      <v:textbox>
                        <w:txbxContent>
                          <w:p w14:paraId="49DFDB41">
                            <w:pPr>
                              <w:jc w:val="center"/>
                              <w:rPr>
                                <w:rFonts w:hint="default" w:eastAsia="宋体"/>
                                <w:color w:val="FFFFFF"/>
                                <w:sz w:val="28"/>
                                <w:szCs w:val="28"/>
                                <w:lang w:val="en-US" w:eastAsia="zh-CN"/>
                              </w:rPr>
                            </w:pPr>
                            <w:r>
                              <w:rPr>
                                <w:rFonts w:hint="eastAsia" w:eastAsia="宋体"/>
                                <w:color w:val="FFFFFF"/>
                                <w:sz w:val="28"/>
                                <w:szCs w:val="28"/>
                                <w:lang w:val="en-US" w:eastAsia="zh-CN"/>
                              </w:rPr>
                              <w:t>D</w:t>
                            </w:r>
                          </w:p>
                        </w:txbxContent>
                      </v:textbox>
                    </v:shape>
                  </w:pict>
                </mc:Fallback>
              </mc:AlternateContent>
            </w:r>
            <w:r>
              <w:drawing>
                <wp:inline distT="0" distB="0" distL="114300" distR="114300">
                  <wp:extent cx="1846580" cy="1749425"/>
                  <wp:effectExtent l="0" t="0" r="1270" b="317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8"/>
                          <a:srcRect l="25139" t="20230" r="27812" b="16750"/>
                          <a:stretch>
                            <a:fillRect/>
                          </a:stretch>
                        </pic:blipFill>
                        <pic:spPr>
                          <a:xfrm flipH="1">
                            <a:off x="0" y="0"/>
                            <a:ext cx="1846580" cy="1749425"/>
                          </a:xfrm>
                          <a:prstGeom prst="rect">
                            <a:avLst/>
                          </a:prstGeom>
                          <a:noFill/>
                          <a:ln>
                            <a:noFill/>
                          </a:ln>
                        </pic:spPr>
                      </pic:pic>
                    </a:graphicData>
                  </a:graphic>
                </wp:inline>
              </w:drawing>
            </w:r>
          </w:p>
        </w:tc>
      </w:tr>
    </w:tbl>
    <w:p w14:paraId="478D97DC">
      <w:pPr>
        <w:keepNext w:val="0"/>
        <w:keepLines w:val="0"/>
        <w:pageBreakBefore w:val="0"/>
        <w:widowControl w:val="0"/>
        <w:kinsoku/>
        <w:wordWrap/>
        <w:overflowPunct/>
        <w:topLinePunct w:val="0"/>
        <w:autoSpaceDE/>
        <w:autoSpaceDN/>
        <w:bidi w:val="0"/>
        <w:spacing w:line="360" w:lineRule="exact"/>
        <w:jc w:val="center"/>
        <w:textAlignment w:val="auto"/>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番茄潜叶蛾</w:t>
      </w:r>
      <w:r>
        <w:rPr>
          <w:rFonts w:hint="eastAsia" w:ascii="仿宋_GB2312" w:hAnsi="仿宋_GB2312" w:eastAsia="仿宋_GB2312" w:cs="仿宋_GB2312"/>
          <w:b/>
          <w:bCs/>
          <w:sz w:val="28"/>
          <w:szCs w:val="28"/>
          <w:lang w:eastAsia="zh-CN"/>
        </w:rPr>
        <w:t>形态</w:t>
      </w:r>
      <w:r>
        <w:rPr>
          <w:rFonts w:hint="eastAsia" w:ascii="仿宋_GB2312" w:hAnsi="仿宋_GB2312" w:eastAsia="仿宋_GB2312" w:cs="仿宋_GB2312"/>
          <w:b/>
          <w:bCs/>
          <w:sz w:val="28"/>
          <w:szCs w:val="28"/>
        </w:rPr>
        <w:t>特征</w:t>
      </w:r>
    </w:p>
    <w:p w14:paraId="0BB114B3">
      <w:pPr>
        <w:keepNext w:val="0"/>
        <w:keepLines w:val="0"/>
        <w:pageBreakBefore w:val="0"/>
        <w:widowControl w:val="0"/>
        <w:kinsoku/>
        <w:wordWrap/>
        <w:overflowPunct/>
        <w:topLinePunct w:val="0"/>
        <w:autoSpaceDE/>
        <w:autoSpaceDN/>
        <w:bidi w:val="0"/>
        <w:adjustRightInd w:val="0"/>
        <w:snapToGrid w:val="0"/>
        <w:spacing w:line="360" w:lineRule="exact"/>
        <w:ind w:firstLine="560" w:firstLineChars="200"/>
        <w:jc w:val="center"/>
        <w:textAlignment w:val="auto"/>
        <w:rPr>
          <w:rFonts w:hint="eastAsia" w:ascii="楷体_GB2312" w:hAnsi="楷体_GB2312" w:eastAsia="楷体_GB2312" w:cs="楷体_GB2312"/>
          <w:color w:val="000000"/>
          <w:sz w:val="28"/>
          <w:szCs w:val="28"/>
        </w:rPr>
      </w:pPr>
      <w:r>
        <w:rPr>
          <w:rFonts w:hint="eastAsia" w:ascii="仿宋_GB2312" w:hAnsi="仿宋_GB2312" w:eastAsia="仿宋_GB2312" w:cs="仿宋_GB2312"/>
          <w:b w:val="0"/>
          <w:bCs w:val="0"/>
          <w:color w:val="000000"/>
          <w:sz w:val="28"/>
          <w:szCs w:val="28"/>
          <w:lang w:val="en-US" w:eastAsia="zh-CN"/>
        </w:rPr>
        <w:t>A:</w:t>
      </w:r>
      <w:r>
        <w:rPr>
          <w:rFonts w:hint="eastAsia" w:ascii="仿宋_GB2312" w:hAnsi="仿宋_GB2312" w:eastAsia="仿宋_GB2312" w:cs="仿宋_GB2312"/>
          <w:b w:val="0"/>
          <w:bCs w:val="0"/>
          <w:sz w:val="28"/>
          <w:szCs w:val="28"/>
        </w:rPr>
        <w:t>卵</w:t>
      </w:r>
      <w:r>
        <w:rPr>
          <w:rFonts w:hint="eastAsia" w:ascii="仿宋_GB2312" w:hAnsi="仿宋_GB2312" w:eastAsia="仿宋_GB2312" w:cs="仿宋_GB2312"/>
          <w:b w:val="0"/>
          <w:bCs w:val="0"/>
          <w:sz w:val="28"/>
          <w:szCs w:val="28"/>
          <w:lang w:val="en-US" w:eastAsia="zh-CN"/>
        </w:rPr>
        <w:t>；B:</w:t>
      </w:r>
      <w:r>
        <w:rPr>
          <w:rFonts w:hint="eastAsia" w:ascii="仿宋_GB2312" w:hAnsi="仿宋_GB2312" w:eastAsia="仿宋_GB2312" w:cs="仿宋_GB2312"/>
          <w:b w:val="0"/>
          <w:bCs w:val="0"/>
          <w:sz w:val="28"/>
          <w:szCs w:val="28"/>
        </w:rPr>
        <w:t>幼虫</w:t>
      </w:r>
      <w:r>
        <w:rPr>
          <w:rFonts w:hint="eastAsia" w:ascii="仿宋_GB2312" w:hAnsi="仿宋_GB2312" w:eastAsia="仿宋_GB2312" w:cs="仿宋_GB2312"/>
          <w:b w:val="0"/>
          <w:bCs w:val="0"/>
          <w:sz w:val="28"/>
          <w:szCs w:val="28"/>
          <w:lang w:val="en-US" w:eastAsia="zh-CN"/>
        </w:rPr>
        <w:t>；C:</w:t>
      </w:r>
      <w:r>
        <w:rPr>
          <w:rFonts w:hint="eastAsia" w:ascii="仿宋_GB2312" w:hAnsi="仿宋_GB2312" w:eastAsia="仿宋_GB2312" w:cs="仿宋_GB2312"/>
          <w:b w:val="0"/>
          <w:bCs w:val="0"/>
          <w:sz w:val="28"/>
          <w:szCs w:val="28"/>
        </w:rPr>
        <w:t>蛹</w:t>
      </w:r>
      <w:r>
        <w:rPr>
          <w:rFonts w:hint="eastAsia" w:ascii="仿宋_GB2312" w:hAnsi="仿宋_GB2312" w:eastAsia="仿宋_GB2312" w:cs="仿宋_GB2312"/>
          <w:b w:val="0"/>
          <w:bCs w:val="0"/>
          <w:sz w:val="28"/>
          <w:szCs w:val="28"/>
          <w:lang w:val="en-US" w:eastAsia="zh-CN"/>
        </w:rPr>
        <w:t>；D:</w:t>
      </w:r>
      <w:r>
        <w:rPr>
          <w:rFonts w:hint="eastAsia" w:ascii="仿宋_GB2312" w:hAnsi="仿宋_GB2312" w:eastAsia="仿宋_GB2312" w:cs="仿宋_GB2312"/>
          <w:b w:val="0"/>
          <w:bCs w:val="0"/>
          <w:sz w:val="28"/>
          <w:szCs w:val="28"/>
        </w:rPr>
        <w:t>成虫</w:t>
      </w:r>
    </w:p>
    <w:p w14:paraId="21AD8939">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color w:val="000000"/>
          <w:sz w:val="32"/>
          <w:szCs w:val="32"/>
        </w:rPr>
        <w:t>（二）生活史及习性</w:t>
      </w:r>
      <w:r>
        <w:rPr>
          <w:rFonts w:hint="eastAsia" w:ascii="楷体_GB2312" w:hAnsi="楷体_GB2312" w:eastAsia="楷体_GB2312" w:cs="楷体_GB2312"/>
          <w:color w:val="000000"/>
          <w:sz w:val="32"/>
          <w:szCs w:val="32"/>
          <w:lang w:eastAsia="zh-CN"/>
        </w:rPr>
        <w:t>。</w:t>
      </w:r>
      <w:r>
        <w:rPr>
          <w:rFonts w:hint="eastAsia" w:ascii="仿宋_GB2312" w:hAnsi="仿宋_GB2312" w:eastAsia="仿宋_GB2312" w:cs="仿宋_GB2312"/>
          <w:color w:val="000000"/>
          <w:sz w:val="32"/>
          <w:szCs w:val="32"/>
        </w:rPr>
        <w:t>一年可发生</w:t>
      </w:r>
      <w:r>
        <w:rPr>
          <w:rFonts w:hint="eastAsia" w:ascii="仿宋_GB2312" w:hAnsi="仿宋_GB2312" w:eastAsia="仿宋_GB2312" w:cs="仿宋_GB2312"/>
          <w:sz w:val="32"/>
          <w:szCs w:val="32"/>
        </w:rPr>
        <w:t>10-12代，世代重叠现象严重，一年四季均可繁殖危害。成虫昼夜潜伏，黎明或黄昏时分活动，具有趋光性和强趋化性。交配习性较特殊，近地面婚飞、求偶，多在地面交配。繁殖能力强，每头雌蛾一生产卵量可达260~350粒，产卵期集中，开始产卵的前4天已完成90%以上的产卵量。卵散产或5-7粒聚产。幼虫孵化后即潜食或钻蛀为害，3-4龄幼虫可转移叶片或转株为害。老熟幼虫钻出潜道，在土壤、落叶或植物残体上结茧化蛹，有时也在潜道末端化蛹。主要以蛹或成虫在土壤、病残体或温室缝隙内越冬。</w:t>
      </w:r>
    </w:p>
    <w:p w14:paraId="1118A60C">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textAlignment w:val="auto"/>
        <w:rPr>
          <w:rFonts w:hint="eastAsia" w:eastAsia="仿宋_GB2312"/>
          <w:sz w:val="32"/>
          <w:szCs w:val="32"/>
        </w:rPr>
      </w:pPr>
      <w:r>
        <w:rPr>
          <w:rFonts w:hint="eastAsia" w:ascii="楷体_GB2312" w:hAnsi="楷体_GB2312" w:eastAsia="楷体_GB2312" w:cs="楷体_GB2312"/>
          <w:color w:val="000000"/>
          <w:sz w:val="32"/>
          <w:szCs w:val="32"/>
        </w:rPr>
        <w:t>（三）为害特点</w:t>
      </w:r>
      <w:r>
        <w:rPr>
          <w:rFonts w:hint="eastAsia" w:ascii="楷体_GB2312" w:hAnsi="楷体_GB2312" w:eastAsia="楷体_GB2312" w:cs="楷体_GB2312"/>
          <w:color w:val="000000"/>
          <w:sz w:val="32"/>
          <w:szCs w:val="32"/>
          <w:lang w:eastAsia="zh-CN"/>
        </w:rPr>
        <w:t>。</w:t>
      </w:r>
      <w:r>
        <w:rPr>
          <w:rFonts w:hint="eastAsia" w:ascii="仿宋_GB2312" w:hAnsi="仿宋_GB2312" w:eastAsia="仿宋_GB2312" w:cs="仿宋_GB2312"/>
          <w:color w:val="000000"/>
          <w:sz w:val="32"/>
          <w:szCs w:val="32"/>
        </w:rPr>
        <w:t>幼虫是主要危害源，其特点是“潜食”和“钻蛀”。</w:t>
      </w:r>
      <w:r>
        <w:rPr>
          <w:rFonts w:hint="eastAsia" w:eastAsia="仿宋_GB2312"/>
          <w:sz w:val="32"/>
          <w:szCs w:val="32"/>
        </w:rPr>
        <w:t>幼虫潜入叶片表皮之间，取食叶肉，形成不规则、逐渐扩大的“蛇形”虫道。严重时，整个叶片仅剩上下两层表皮，干枯死亡，严重影响光合作用。幼虫钻蛀顶芽和嫩茎，导致生长点坏死，植株停止生长或畸形。蛀食花器，导致落花或影响坐果。钻入果实内部，在表面留下明显的蛀孔，在果肉内蛀食形成隧道，并排泄粪便，导致果实腐烂、失去商品价值，甚至引发二次病害感染。受害植株生长迟缓、萎蔫，甚至整体枯死。</w:t>
      </w:r>
    </w:p>
    <w:p w14:paraId="758A0532">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textAlignment w:val="auto"/>
        <w:rPr>
          <w:rFonts w:hint="eastAsia" w:ascii="黑体" w:hAnsi="黑体" w:eastAsia="黑体" w:cs="黑体"/>
          <w:color w:val="000000"/>
          <w:sz w:val="32"/>
          <w:szCs w:val="32"/>
        </w:rPr>
      </w:pPr>
      <w:r>
        <w:rPr>
          <w:rFonts w:hint="eastAsia" w:ascii="黑体" w:hAnsi="黑体" w:eastAsia="黑体" w:cs="黑体"/>
          <w:color w:val="000000"/>
          <w:sz w:val="32"/>
          <w:szCs w:val="32"/>
          <w:lang w:eastAsia="zh-CN"/>
        </w:rPr>
        <w:t>二、</w:t>
      </w:r>
      <w:r>
        <w:rPr>
          <w:rFonts w:hint="eastAsia" w:ascii="黑体" w:hAnsi="黑体" w:eastAsia="黑体" w:cs="黑体"/>
          <w:color w:val="000000"/>
          <w:sz w:val="32"/>
          <w:szCs w:val="32"/>
        </w:rPr>
        <w:t>调查监测</w:t>
      </w:r>
    </w:p>
    <w:p w14:paraId="3B56AAC8">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textAlignment w:val="auto"/>
        <w:rPr>
          <w:rFonts w:hint="eastAsia" w:ascii="仿宋_GB2312" w:hAnsi="仿宋_GB2312" w:eastAsia="仿宋_GB2312" w:cs="仿宋_GB2312"/>
          <w:color w:val="000000"/>
          <w:sz w:val="32"/>
          <w:szCs w:val="32"/>
        </w:rPr>
      </w:pPr>
      <w:r>
        <w:rPr>
          <w:rFonts w:hint="eastAsia" w:ascii="楷体_GB2312" w:hAnsi="楷体_GB2312" w:eastAsia="楷体_GB2312" w:cs="楷体_GB2312"/>
          <w:color w:val="000000"/>
          <w:sz w:val="32"/>
          <w:szCs w:val="32"/>
          <w:lang w:eastAsia="zh-CN"/>
        </w:rPr>
        <w:t>（一）发生范围调查。</w:t>
      </w:r>
      <w:r>
        <w:rPr>
          <w:rFonts w:hint="eastAsia" w:ascii="仿宋_GB2312" w:hAnsi="仿宋_GB2312" w:eastAsia="仿宋_GB2312" w:cs="仿宋_GB2312"/>
          <w:color w:val="000000"/>
          <w:sz w:val="32"/>
          <w:szCs w:val="32"/>
        </w:rPr>
        <w:t>采用踏查法调查发生区域和发生范围。询问当地农户和农技人员，了解番茄等作物是否有番茄潜叶蛾为害，做好访问调查记录，统计有番茄潜叶蛾发生的地块占总调查地块的比例及番茄潜叶蛾发生面积。踏查面积一般不少于种植面积的50%。</w:t>
      </w:r>
    </w:p>
    <w:p w14:paraId="5C30F27E">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textAlignment w:val="auto"/>
        <w:rPr>
          <w:rFonts w:hint="eastAsia" w:ascii="仿宋_GB2312" w:hAnsi="仿宋_GB2312" w:eastAsia="仿宋_GB2312" w:cs="仿宋_GB2312"/>
          <w:color w:val="000000"/>
          <w:sz w:val="32"/>
          <w:szCs w:val="32"/>
        </w:rPr>
      </w:pPr>
      <w:r>
        <w:rPr>
          <w:rFonts w:hint="eastAsia" w:ascii="楷体_GB2312" w:hAnsi="楷体_GB2312" w:eastAsia="楷体_GB2312" w:cs="楷体_GB2312"/>
          <w:color w:val="000000"/>
          <w:sz w:val="32"/>
          <w:szCs w:val="32"/>
          <w:lang w:eastAsia="zh-CN"/>
        </w:rPr>
        <w:t>（二）田间实地普查。</w:t>
      </w:r>
      <w:r>
        <w:rPr>
          <w:rFonts w:hint="eastAsia" w:ascii="仿宋_GB2312" w:hAnsi="仿宋_GB2312" w:eastAsia="仿宋_GB2312" w:cs="仿宋_GB2312"/>
          <w:b w:val="0"/>
          <w:bCs/>
          <w:color w:val="000000"/>
          <w:sz w:val="32"/>
          <w:szCs w:val="32"/>
        </w:rPr>
        <w:t>选择有代表性的2-3块种植田</w:t>
      </w:r>
      <w:r>
        <w:rPr>
          <w:rFonts w:hint="eastAsia" w:ascii="仿宋_GB2312" w:hAnsi="仿宋_GB2312" w:eastAsia="仿宋_GB2312" w:cs="仿宋_GB2312"/>
          <w:bCs/>
          <w:color w:val="000000"/>
          <w:sz w:val="32"/>
          <w:szCs w:val="32"/>
        </w:rPr>
        <w:t>定</w:t>
      </w:r>
      <w:r>
        <w:rPr>
          <w:rFonts w:hint="eastAsia" w:ascii="仿宋_GB2312" w:hAnsi="仿宋_GB2312" w:eastAsia="仿宋_GB2312" w:cs="仿宋_GB2312"/>
          <w:b w:val="0"/>
          <w:bCs/>
          <w:color w:val="000000"/>
          <w:sz w:val="32"/>
          <w:szCs w:val="32"/>
        </w:rPr>
        <w:t>点调查，</w:t>
      </w:r>
      <w:r>
        <w:rPr>
          <w:rFonts w:hint="eastAsia" w:ascii="仿宋_GB2312" w:hAnsi="仿宋_GB2312" w:eastAsia="仿宋_GB2312" w:cs="仿宋_GB2312"/>
          <w:color w:val="000000"/>
          <w:sz w:val="32"/>
          <w:szCs w:val="32"/>
        </w:rPr>
        <w:t>采用五点取样法，每点调查2株，5点合计10株，每株调查全部叶片，记录总叶片数、卵量、幼虫数和被害叶片数，计算叶被害率、百叶虫量、百叶虫道数等。调查田块不得低于667m</w:t>
      </w:r>
      <w:r>
        <w:rPr>
          <w:rFonts w:hint="eastAsia" w:ascii="仿宋_GB2312" w:hAnsi="仿宋_GB2312" w:eastAsia="仿宋_GB2312" w:cs="仿宋_GB2312"/>
          <w:color w:val="000000"/>
          <w:sz w:val="32"/>
          <w:szCs w:val="32"/>
          <w:vertAlign w:val="superscript"/>
        </w:rPr>
        <w:t>2</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取样点距田埂</w:t>
      </w:r>
      <w:r>
        <w:rPr>
          <w:rFonts w:hint="eastAsia" w:ascii="仿宋_GB2312" w:hAnsi="仿宋_GB2312" w:eastAsia="仿宋_GB2312" w:cs="仿宋_GB2312"/>
          <w:color w:val="000000"/>
          <w:sz w:val="32"/>
          <w:szCs w:val="32"/>
          <w:lang w:val="en-US" w:eastAsia="zh-CN"/>
        </w:rPr>
        <w:t>1m</w:t>
      </w:r>
      <w:r>
        <w:rPr>
          <w:rFonts w:hint="eastAsia" w:ascii="仿宋_GB2312" w:hAnsi="仿宋_GB2312" w:eastAsia="仿宋_GB2312" w:cs="仿宋_GB2312"/>
          <w:color w:val="000000"/>
          <w:sz w:val="32"/>
          <w:szCs w:val="32"/>
        </w:rPr>
        <w:t>以上。</w:t>
      </w:r>
    </w:p>
    <w:p w14:paraId="2F5CD386">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textAlignment w:val="auto"/>
        <w:rPr>
          <w:rFonts w:hint="eastAsia" w:ascii="仿宋_GB2312" w:hAnsi="仿宋_GB2312" w:eastAsia="仿宋_GB2312" w:cs="仿宋_GB2312"/>
          <w:color w:val="000000"/>
          <w:sz w:val="32"/>
          <w:szCs w:val="32"/>
        </w:rPr>
      </w:pPr>
      <w:r>
        <w:rPr>
          <w:rFonts w:hint="eastAsia" w:ascii="楷体_GB2312" w:hAnsi="楷体_GB2312" w:eastAsia="楷体_GB2312" w:cs="楷体_GB2312"/>
          <w:color w:val="000000"/>
          <w:sz w:val="32"/>
          <w:szCs w:val="32"/>
          <w:lang w:eastAsia="zh-CN"/>
        </w:rPr>
        <w:t>（三）性信息素诱捕器监测法（用于成虫动态监测）。</w:t>
      </w:r>
      <w:r>
        <w:rPr>
          <w:rFonts w:hint="eastAsia" w:ascii="仿宋_GB2312" w:hAnsi="仿宋_GB2312" w:eastAsia="仿宋_GB2312" w:cs="仿宋_GB2312"/>
          <w:color w:val="000000"/>
          <w:sz w:val="32"/>
          <w:szCs w:val="32"/>
        </w:rPr>
        <w:t>在番茄田（约1亩）内设置3个专用性诱捕器，呈正三角形放置于地面0cm-50cm间，两点间距离不低于10m。每次调查后及时除去粘板上的成虫，或者更换粘板。诱芯根据产品持效期及时更换。当诱蛾量急剧上升，表明进入成虫羽化高峰，7-10天后将是低龄幼虫孵化高峰和防治关键期。</w:t>
      </w:r>
    </w:p>
    <w:p w14:paraId="2B51F99D">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jc w:val="left"/>
        <w:textAlignment w:val="auto"/>
        <w:rPr>
          <w:rFonts w:hint="eastAsia" w:ascii="黑体" w:hAnsi="黑体" w:eastAsia="黑体" w:cs="黑体"/>
          <w:sz w:val="32"/>
          <w:szCs w:val="32"/>
        </w:rPr>
      </w:pPr>
      <w:r>
        <w:rPr>
          <w:rFonts w:hint="eastAsia" w:ascii="黑体" w:hAnsi="黑体" w:eastAsia="黑体" w:cs="黑体"/>
          <w:sz w:val="32"/>
          <w:szCs w:val="32"/>
          <w:lang w:eastAsia="zh-CN"/>
        </w:rPr>
        <w:t>三</w:t>
      </w:r>
      <w:r>
        <w:rPr>
          <w:rFonts w:hint="eastAsia" w:ascii="黑体" w:hAnsi="黑体" w:eastAsia="黑体" w:cs="黑体"/>
          <w:sz w:val="32"/>
          <w:szCs w:val="32"/>
        </w:rPr>
        <w:t>、绿色防控措施</w:t>
      </w:r>
    </w:p>
    <w:p w14:paraId="618DDEC6">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坚持预防为主、联防联控，集成应用绿色防控技术。以培育健康无虫种苗、加强田间管理等农艺措施为基础，综合应用理化诱控、生物防治等非化学防控措施，增强田间自然控害能力，科学使用化学农药，有效防控番茄潜叶蛾发生为害。</w:t>
      </w:r>
    </w:p>
    <w:p w14:paraId="1CECE9FA">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textAlignment w:val="auto"/>
        <w:rPr>
          <w:rFonts w:hint="eastAsia" w:ascii="仿宋_GB2312" w:hAnsi="仿宋_GB2312" w:eastAsia="仿宋_GB2312" w:cs="仿宋_GB2312"/>
          <w:color w:val="000000"/>
          <w:sz w:val="32"/>
          <w:szCs w:val="32"/>
        </w:rPr>
      </w:pPr>
      <w:r>
        <w:rPr>
          <w:rFonts w:hint="eastAsia" w:ascii="楷体_GB2312" w:hAnsi="楷体_GB2312" w:eastAsia="楷体_GB2312" w:cs="楷体_GB2312"/>
          <w:color w:val="000000"/>
          <w:sz w:val="32"/>
          <w:szCs w:val="32"/>
        </w:rPr>
        <w:t>（一）加强监测预警</w:t>
      </w:r>
      <w:r>
        <w:rPr>
          <w:rFonts w:hint="eastAsia" w:ascii="楷体_GB2312" w:hAnsi="楷体_GB2312" w:eastAsia="楷体_GB2312" w:cs="楷体_GB2312"/>
          <w:color w:val="000000"/>
          <w:sz w:val="32"/>
          <w:szCs w:val="32"/>
          <w:lang w:eastAsia="zh-CN"/>
        </w:rPr>
        <w:t>。</w:t>
      </w:r>
      <w:r>
        <w:rPr>
          <w:rFonts w:hint="eastAsia" w:ascii="仿宋_GB2312" w:hAnsi="仿宋_GB2312" w:eastAsia="仿宋_GB2312" w:cs="仿宋_GB2312"/>
          <w:color w:val="000000"/>
          <w:sz w:val="32"/>
          <w:szCs w:val="32"/>
        </w:rPr>
        <w:t>各地加强对</w:t>
      </w:r>
      <w:r>
        <w:rPr>
          <w:rFonts w:hint="eastAsia" w:ascii="仿宋_GB2312" w:hAnsi="仿宋_GB2312" w:eastAsia="仿宋_GB2312" w:cs="仿宋_GB2312"/>
          <w:sz w:val="32"/>
          <w:szCs w:val="32"/>
        </w:rPr>
        <w:t>番茄潜叶蛾</w:t>
      </w:r>
      <w:r>
        <w:rPr>
          <w:rFonts w:hint="eastAsia" w:ascii="仿宋_GB2312" w:hAnsi="仿宋_GB2312" w:eastAsia="仿宋_GB2312" w:cs="仿宋_GB2312"/>
          <w:color w:val="000000"/>
          <w:sz w:val="32"/>
          <w:szCs w:val="32"/>
        </w:rPr>
        <w:t>发生动态的监测预警，及时发布预警防控信息，指导种植户精准防控。</w:t>
      </w:r>
    </w:p>
    <w:p w14:paraId="1AE93C55">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textAlignment w:val="auto"/>
        <w:rPr>
          <w:rFonts w:hint="eastAsia" w:ascii="仿宋_GB2312" w:hAnsi="仿宋_GB2312" w:eastAsia="仿宋_GB2312" w:cs="仿宋_GB2312"/>
          <w:color w:val="000000"/>
          <w:sz w:val="32"/>
          <w:szCs w:val="32"/>
        </w:rPr>
      </w:pPr>
      <w:r>
        <w:rPr>
          <w:rFonts w:hint="eastAsia" w:ascii="楷体_GB2312" w:hAnsi="楷体_GB2312" w:eastAsia="楷体_GB2312" w:cs="楷体_GB2312"/>
          <w:color w:val="000000"/>
          <w:sz w:val="32"/>
          <w:szCs w:val="32"/>
        </w:rPr>
        <w:t>（二）农业防控措施</w:t>
      </w:r>
      <w:r>
        <w:rPr>
          <w:rFonts w:hint="eastAsia" w:ascii="楷体_GB2312" w:hAnsi="楷体_GB2312" w:eastAsia="楷体_GB2312" w:cs="楷体_GB2312"/>
          <w:color w:val="000000"/>
          <w:sz w:val="32"/>
          <w:szCs w:val="32"/>
          <w:lang w:eastAsia="zh-CN"/>
        </w:rPr>
        <w:t>。</w:t>
      </w:r>
      <w:r>
        <w:rPr>
          <w:rFonts w:hint="eastAsia" w:ascii="仿宋_GB2312" w:hAnsi="仿宋_GB2312" w:eastAsia="仿宋_GB2312" w:cs="仿宋_GB2312"/>
          <w:color w:val="000000"/>
          <w:sz w:val="32"/>
          <w:szCs w:val="32"/>
        </w:rPr>
        <w:t>合理轮作倒茬</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与非茄科作物（如水稻、玉米、豆类、十字花科蔬菜）进行轮作，能有效中断其食物来源。选用清洁无虫苗</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不从番茄潜叶蛾发生区购买和调运番茄苗</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在育苗棚室或防虫网内集中育苗。清洁田园</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在生长季节，及时摘除并处理（深埋或焚烧）受害严重的叶片、果实和枝条。收获后，立即彻底清除并销毁病株残体、落叶、落果，深翻土壤，减少越冬虫源。健康栽培</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培育无虫壮苗，加强肥水管理，增强植株自身抗性。</w:t>
      </w:r>
    </w:p>
    <w:p w14:paraId="3D0D25EA">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textAlignment w:val="auto"/>
        <w:rPr>
          <w:rFonts w:hint="eastAsia" w:ascii="仿宋_GB2312" w:hAnsi="仿宋_GB2312" w:eastAsia="仿宋_GB2312" w:cs="仿宋_GB2312"/>
          <w:color w:val="000000"/>
          <w:sz w:val="32"/>
          <w:szCs w:val="32"/>
        </w:rPr>
      </w:pPr>
      <w:r>
        <w:rPr>
          <w:rFonts w:hint="eastAsia" w:ascii="楷体_GB2312" w:hAnsi="楷体_GB2312" w:eastAsia="楷体_GB2312" w:cs="楷体_GB2312"/>
          <w:color w:val="000000"/>
          <w:sz w:val="32"/>
          <w:szCs w:val="32"/>
        </w:rPr>
        <w:t>（三）理化诱控措施</w:t>
      </w:r>
      <w:r>
        <w:rPr>
          <w:rFonts w:hint="eastAsia" w:ascii="楷体_GB2312" w:hAnsi="楷体_GB2312" w:eastAsia="楷体_GB2312" w:cs="楷体_GB2312"/>
          <w:color w:val="000000"/>
          <w:sz w:val="32"/>
          <w:szCs w:val="32"/>
          <w:lang w:eastAsia="zh-CN"/>
        </w:rPr>
        <w:t>。</w:t>
      </w:r>
      <w:r>
        <w:rPr>
          <w:rFonts w:hint="eastAsia" w:ascii="仿宋_GB2312" w:hAnsi="仿宋_GB2312" w:eastAsia="仿宋_GB2312" w:cs="仿宋_GB2312"/>
          <w:color w:val="000000"/>
          <w:sz w:val="32"/>
          <w:szCs w:val="32"/>
        </w:rPr>
        <w:t>防虫网阻隔</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育苗棚室以及生产棚室的入口处安装60目防虫网双层门帘，通风口安装防虫网，有效阻止成虫飞入产卵。灯光诱杀</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成虫发生期，在连片种植田设置杀虫灯，露地每5-10亩设置1盏，保护地每棚室设置1盏，光源高出地面0.5-1.0m，集虫装置适量加含0.2%洗涤液的水。交配干扰或性诱捕杀</w:t>
      </w:r>
      <w:r>
        <w:rPr>
          <w:rFonts w:hint="eastAsia" w:ascii="仿宋_GB2312" w:hAnsi="仿宋_GB2312" w:eastAsia="仿宋_GB2312" w:cs="仿宋_GB2312"/>
          <w:color w:val="000000"/>
          <w:sz w:val="32"/>
          <w:szCs w:val="32"/>
          <w:lang w:eastAsia="zh-CN"/>
        </w:rPr>
        <w:t>，一是</w:t>
      </w:r>
      <w:r>
        <w:rPr>
          <w:rFonts w:hint="eastAsia" w:ascii="仿宋_GB2312" w:hAnsi="仿宋_GB2312" w:eastAsia="仿宋_GB2312" w:cs="仿宋_GB2312"/>
          <w:color w:val="000000"/>
          <w:sz w:val="32"/>
          <w:szCs w:val="32"/>
        </w:rPr>
        <w:t>迷向干扰交配</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番茄苗定植前，在田间放置迷向丝或迷向管（每亩60根），或智能喷射型交配干扰释放器（每3-5亩1套），连片使用为宜，外密内疏放置，设置高度距离地面10-20cm。使田间充满信息素气味，让雄蛾无法找到雌蛾，无法交配。</w:t>
      </w:r>
      <w:r>
        <w:rPr>
          <w:rFonts w:hint="eastAsia" w:ascii="仿宋_GB2312" w:hAnsi="仿宋_GB2312" w:eastAsia="仿宋_GB2312" w:cs="仿宋_GB2312"/>
          <w:color w:val="000000"/>
          <w:sz w:val="32"/>
          <w:szCs w:val="32"/>
          <w:lang w:eastAsia="zh-CN"/>
        </w:rPr>
        <w:t>二是</w:t>
      </w:r>
      <w:r>
        <w:rPr>
          <w:rFonts w:hint="eastAsia" w:ascii="仿宋_GB2312" w:hAnsi="仿宋_GB2312" w:eastAsia="仿宋_GB2312" w:cs="仿宋_GB2312"/>
          <w:color w:val="000000"/>
          <w:sz w:val="32"/>
          <w:szCs w:val="32"/>
        </w:rPr>
        <w:t>性诱捕杀</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在连片种植田设置性诱捕器诱杀成虫。露地番茄采用三角形或翅形粘胶式诱捕器，每亩放置8-10个，诱捕器底部距离地面10-20cm</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保护地番茄还可采用蓝色粘板、蓝色或红色水盆式（或桶形）诱捕器，直接放在地面上。</w:t>
      </w:r>
    </w:p>
    <w:p w14:paraId="3DBFBFF1">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textAlignment w:val="auto"/>
        <w:rPr>
          <w:rFonts w:eastAsia="仿宋_GB2312"/>
          <w:color w:val="000000"/>
          <w:sz w:val="32"/>
          <w:szCs w:val="32"/>
        </w:rPr>
      </w:pPr>
      <w:r>
        <w:rPr>
          <w:rFonts w:hint="eastAsia" w:ascii="楷体_GB2312" w:hAnsi="楷体_GB2312" w:eastAsia="楷体_GB2312" w:cs="楷体_GB2312"/>
          <w:color w:val="000000"/>
          <w:sz w:val="32"/>
          <w:szCs w:val="32"/>
        </w:rPr>
        <w:t>（四）生物防治措施</w:t>
      </w:r>
      <w:r>
        <w:rPr>
          <w:rFonts w:hint="eastAsia" w:ascii="楷体_GB2312" w:hAnsi="楷体_GB2312" w:eastAsia="楷体_GB2312" w:cs="楷体_GB2312"/>
          <w:color w:val="000000"/>
          <w:sz w:val="32"/>
          <w:szCs w:val="32"/>
          <w:lang w:eastAsia="zh-CN"/>
        </w:rPr>
        <w:t>。</w:t>
      </w:r>
      <w:r>
        <w:rPr>
          <w:rFonts w:hint="eastAsia" w:ascii="仿宋_GB2312" w:hAnsi="仿宋_GB2312" w:eastAsia="仿宋_GB2312" w:cs="仿宋_GB2312"/>
          <w:color w:val="000000"/>
          <w:sz w:val="32"/>
          <w:szCs w:val="32"/>
        </w:rPr>
        <w:t>涵养自然天敌</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在田边地头或沟渠旁种植金盏菊、芝麻、荞麦、苦荞麦等蜜源植物涵养天敌</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避免使用广谱性杀虫剂，提倡点片用药和精准用药。人工释放天敌</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田间监测到成虫即可释放螟黄赤眼蜂、短管赤眼蜂等寄生性天敌或小花蝽、烟盲蝽等捕食性天敌</w:t>
      </w:r>
      <w:r>
        <w:rPr>
          <w:rFonts w:eastAsia="仿宋_GB2312"/>
          <w:color w:val="000000"/>
          <w:sz w:val="32"/>
          <w:szCs w:val="32"/>
        </w:rPr>
        <w:t>。</w:t>
      </w:r>
    </w:p>
    <w:p w14:paraId="42D2DA4F">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color w:val="000000"/>
          <w:sz w:val="32"/>
          <w:szCs w:val="32"/>
        </w:rPr>
        <w:t>（五）化学防治措施</w:t>
      </w:r>
      <w:r>
        <w:rPr>
          <w:rFonts w:hint="eastAsia" w:ascii="楷体_GB2312" w:hAnsi="楷体_GB2312" w:eastAsia="楷体_GB2312" w:cs="楷体_GB2312"/>
          <w:color w:val="000000"/>
          <w:sz w:val="32"/>
          <w:szCs w:val="32"/>
          <w:lang w:eastAsia="zh-CN"/>
        </w:rPr>
        <w:t>。</w:t>
      </w:r>
      <w:r>
        <w:rPr>
          <w:rFonts w:hint="eastAsia" w:ascii="仿宋_GB2312" w:hAnsi="仿宋_GB2312" w:eastAsia="仿宋_GB2312" w:cs="仿宋_GB2312"/>
          <w:color w:val="000000"/>
          <w:sz w:val="32"/>
          <w:szCs w:val="32"/>
        </w:rPr>
        <w:t>卵孵化盛期或幼虫初孵期（尚未钻入组织内部时）是施药关键</w:t>
      </w:r>
      <w:r>
        <w:rPr>
          <w:rFonts w:hint="eastAsia" w:ascii="仿宋_GB2312" w:hAnsi="仿宋_GB2312" w:eastAsia="仿宋_GB2312" w:cs="仿宋_GB2312"/>
          <w:color w:val="000000"/>
          <w:sz w:val="32"/>
          <w:szCs w:val="32"/>
          <w:lang w:eastAsia="zh-CN"/>
        </w:rPr>
        <w:t>时期，</w:t>
      </w:r>
      <w:r>
        <w:rPr>
          <w:rFonts w:hint="eastAsia" w:ascii="仿宋_GB2312" w:hAnsi="仿宋_GB2312" w:eastAsia="仿宋_GB2312" w:cs="仿宋_GB2312"/>
          <w:color w:val="000000"/>
          <w:sz w:val="32"/>
          <w:szCs w:val="32"/>
        </w:rPr>
        <w:t>建议在非雨天下午（日落以后）</w:t>
      </w:r>
      <w:r>
        <w:rPr>
          <w:rFonts w:hint="eastAsia" w:ascii="仿宋_GB2312" w:hAnsi="仿宋_GB2312" w:eastAsia="仿宋_GB2312" w:cs="仿宋_GB2312"/>
          <w:color w:val="000000"/>
          <w:sz w:val="32"/>
          <w:szCs w:val="32"/>
          <w:lang w:eastAsia="zh-CN"/>
        </w:rPr>
        <w:t>喷施</w:t>
      </w:r>
      <w:r>
        <w:rPr>
          <w:rFonts w:hint="eastAsia" w:ascii="仿宋_GB2312" w:hAnsi="仿宋_GB2312" w:eastAsia="仿宋_GB2312" w:cs="仿宋_GB2312"/>
          <w:color w:val="000000"/>
          <w:sz w:val="32"/>
          <w:szCs w:val="32"/>
          <w:lang w:val="en-US" w:eastAsia="zh-CN"/>
        </w:rPr>
        <w:t>60克/升</w:t>
      </w:r>
      <w:r>
        <w:rPr>
          <w:rFonts w:hint="eastAsia" w:ascii="仿宋_GB2312" w:hAnsi="仿宋_GB2312" w:eastAsia="仿宋_GB2312" w:cs="仿宋_GB2312"/>
          <w:color w:val="000000"/>
          <w:sz w:val="32"/>
          <w:szCs w:val="32"/>
        </w:rPr>
        <w:t>乙基多杀菌素</w:t>
      </w:r>
      <w:r>
        <w:rPr>
          <w:rFonts w:hint="eastAsia" w:ascii="仿宋_GB2312" w:hAnsi="仿宋_GB2312" w:eastAsia="仿宋_GB2312" w:cs="仿宋_GB2312"/>
          <w:color w:val="000000"/>
          <w:sz w:val="32"/>
          <w:szCs w:val="32"/>
          <w:lang w:eastAsia="zh-CN"/>
        </w:rPr>
        <w:t>悬浮剂</w:t>
      </w:r>
      <w:r>
        <w:rPr>
          <w:rFonts w:hint="eastAsia" w:ascii="仿宋_GB2312" w:hAnsi="仿宋_GB2312" w:eastAsia="仿宋_GB2312" w:cs="仿宋_GB2312"/>
          <w:color w:val="000000"/>
          <w:sz w:val="32"/>
          <w:szCs w:val="32"/>
          <w:lang w:val="en-US" w:eastAsia="zh-CN"/>
        </w:rPr>
        <w:t>50-70毫升/亩或32000IU/毫克</w:t>
      </w:r>
      <w:r>
        <w:rPr>
          <w:rFonts w:hint="eastAsia" w:ascii="仿宋_GB2312" w:hAnsi="仿宋_GB2312" w:eastAsia="仿宋_GB2312" w:cs="仿宋_GB2312"/>
          <w:color w:val="000000"/>
          <w:sz w:val="32"/>
          <w:szCs w:val="32"/>
        </w:rPr>
        <w:t>苏云金杆菌G033A</w:t>
      </w:r>
      <w:r>
        <w:rPr>
          <w:rFonts w:hint="eastAsia" w:ascii="仿宋_GB2312" w:hAnsi="仿宋_GB2312" w:eastAsia="仿宋_GB2312" w:cs="仿宋_GB2312"/>
          <w:color w:val="000000"/>
          <w:sz w:val="32"/>
          <w:szCs w:val="32"/>
          <w:lang w:eastAsia="zh-CN"/>
        </w:rPr>
        <w:t>可湿性粉剂150-200克/亩，</w:t>
      </w:r>
      <w:r>
        <w:rPr>
          <w:rFonts w:hint="eastAsia" w:ascii="仿宋_GB2312" w:hAnsi="仿宋_GB2312" w:eastAsia="仿宋_GB2312" w:cs="仿宋_GB2312"/>
          <w:color w:val="000000"/>
          <w:sz w:val="32"/>
          <w:szCs w:val="32"/>
        </w:rPr>
        <w:t>重点喷洒植株中上部嫩叶、嫩梢和果实等危害部位，叶片正反面都要喷</w:t>
      </w:r>
      <w:r>
        <w:rPr>
          <w:rFonts w:hint="eastAsia" w:ascii="仿宋_GB2312" w:hAnsi="仿宋_GB2312" w:eastAsia="仿宋_GB2312" w:cs="仿宋_GB2312"/>
          <w:color w:val="000000"/>
          <w:sz w:val="32"/>
          <w:szCs w:val="32"/>
          <w:lang w:eastAsia="zh-CN"/>
        </w:rPr>
        <w:t>均匀，</w:t>
      </w:r>
      <w:r>
        <w:rPr>
          <w:rFonts w:hint="eastAsia" w:ascii="仿宋_GB2312" w:hAnsi="仿宋_GB2312" w:eastAsia="仿宋_GB2312" w:cs="仿宋_GB2312"/>
          <w:color w:val="000000"/>
          <w:sz w:val="32"/>
          <w:szCs w:val="32"/>
        </w:rPr>
        <w:t>7-10天</w:t>
      </w:r>
      <w:r>
        <w:rPr>
          <w:rFonts w:hint="eastAsia" w:ascii="仿宋_GB2312" w:hAnsi="仿宋_GB2312" w:eastAsia="仿宋_GB2312" w:cs="仿宋_GB2312"/>
          <w:color w:val="000000"/>
          <w:sz w:val="32"/>
          <w:szCs w:val="32"/>
          <w:lang w:eastAsia="zh-CN"/>
        </w:rPr>
        <w:t>后再喷</w:t>
      </w:r>
      <w:r>
        <w:rPr>
          <w:rFonts w:hint="eastAsia" w:ascii="仿宋_GB2312" w:hAnsi="仿宋_GB2312" w:eastAsia="仿宋_GB2312" w:cs="仿宋_GB2312"/>
          <w:color w:val="000000"/>
          <w:sz w:val="32"/>
          <w:szCs w:val="32"/>
        </w:rPr>
        <w:t>药1次</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注意轮换用药，并严格遵守农药使用安全间隔期。</w:t>
      </w:r>
    </w:p>
    <w:p w14:paraId="33FEB96F">
      <w:pPr>
        <w:keepNext w:val="0"/>
        <w:keepLines w:val="0"/>
        <w:pageBreakBefore w:val="0"/>
        <w:widowControl w:val="0"/>
        <w:kinsoku/>
        <w:wordWrap/>
        <w:overflowPunct/>
        <w:topLinePunct w:val="0"/>
        <w:autoSpaceDE/>
        <w:autoSpaceDN/>
        <w:bidi w:val="0"/>
        <w:adjustRightInd w:val="0"/>
        <w:snapToGrid w:val="0"/>
        <w:spacing w:line="590" w:lineRule="exact"/>
        <w:textAlignment w:val="auto"/>
        <w:rPr>
          <w:rFonts w:hint="eastAsia" w:ascii="仿宋_GB2312" w:hAnsi="仿宋_GB2312" w:eastAsia="仿宋_GB2312" w:cs="仿宋_GB2312"/>
          <w:sz w:val="32"/>
          <w:szCs w:val="32"/>
        </w:rPr>
      </w:pPr>
    </w:p>
    <w:p w14:paraId="0DA54B52">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附件：</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1.番茄潜叶蛾发生程度分级</w:t>
      </w:r>
    </w:p>
    <w:p w14:paraId="66B46BC6">
      <w:pPr>
        <w:keepNext w:val="0"/>
        <w:keepLines w:val="0"/>
        <w:pageBreakBefore w:val="0"/>
        <w:widowControl w:val="0"/>
        <w:kinsoku/>
        <w:wordWrap/>
        <w:overflowPunct/>
        <w:topLinePunct w:val="0"/>
        <w:autoSpaceDE/>
        <w:autoSpaceDN/>
        <w:bidi w:val="0"/>
        <w:adjustRightInd w:val="0"/>
        <w:snapToGrid w:val="0"/>
        <w:spacing w:line="590" w:lineRule="exact"/>
        <w:ind w:left="16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2.番茄潜叶蛾发生与为害情况调查统计表</w:t>
      </w:r>
    </w:p>
    <w:p w14:paraId="79FF1187">
      <w:pPr>
        <w:spacing w:line="590" w:lineRule="exact"/>
        <w:rPr>
          <w:rFonts w:eastAsia="仿宋_GB2312"/>
          <w:szCs w:val="32"/>
        </w:rPr>
      </w:pPr>
    </w:p>
    <w:p w14:paraId="48AD1638">
      <w:pPr>
        <w:adjustRightInd w:val="0"/>
        <w:snapToGrid w:val="0"/>
        <w:spacing w:line="440" w:lineRule="exact"/>
        <w:ind w:right="-86" w:rightChars="-41"/>
        <w:rPr>
          <w:rFonts w:hint="eastAsia" w:ascii="仿宋_GB2312" w:hAnsi="仿宋_GB2312" w:eastAsia="黑体" w:cs="仿宋_GB2312"/>
          <w:kern w:val="0"/>
          <w:sz w:val="24"/>
        </w:rPr>
      </w:pPr>
      <w:r>
        <w:rPr>
          <w:rFonts w:hint="eastAsia" w:ascii="黑体" w:hAnsi="黑体" w:eastAsia="黑体" w:cs="黑体"/>
          <w:szCs w:val="32"/>
        </w:rPr>
        <w:br w:type="page"/>
      </w:r>
      <w:r>
        <w:rPr>
          <w:rFonts w:hint="eastAsia" w:ascii="黑体" w:hAnsi="黑体" w:eastAsia="黑体" w:cs="黑体"/>
          <w:szCs w:val="32"/>
        </w:rPr>
        <w:t>附件</w:t>
      </w:r>
      <w:r>
        <w:rPr>
          <w:rFonts w:hint="eastAsia" w:ascii="黑体" w:hAnsi="黑体" w:eastAsia="黑体" w:cs="黑体"/>
          <w:szCs w:val="32"/>
          <w:lang w:val="en-US" w:eastAsia="zh-CN"/>
        </w:rPr>
        <w:t>3-</w:t>
      </w:r>
      <w:r>
        <w:rPr>
          <w:rFonts w:hint="eastAsia" w:ascii="黑体" w:hAnsi="黑体" w:eastAsia="黑体" w:cs="黑体"/>
          <w:szCs w:val="32"/>
        </w:rPr>
        <w:t>1</w:t>
      </w:r>
    </w:p>
    <w:p w14:paraId="189792ED">
      <w:pPr>
        <w:spacing w:line="590" w:lineRule="exact"/>
        <w:jc w:val="center"/>
        <w:rPr>
          <w:rFonts w:hint="eastAsia" w:ascii="方正小标宋简体" w:hAnsi="方正小标宋简体" w:eastAsia="方正小标宋简体" w:cs="方正小标宋简体"/>
          <w:sz w:val="44"/>
          <w:szCs w:val="44"/>
        </w:rPr>
      </w:pPr>
    </w:p>
    <w:p w14:paraId="42EC9DA3">
      <w:pPr>
        <w:spacing w:line="59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番茄潜叶蛾发生程度分级指标</w:t>
      </w:r>
    </w:p>
    <w:p w14:paraId="55A8923E">
      <w:pPr>
        <w:spacing w:line="590" w:lineRule="exact"/>
        <w:jc w:val="center"/>
        <w:rPr>
          <w:rFonts w:hint="eastAsia" w:ascii="方正小标宋简体" w:hAnsi="方正小标宋简体" w:eastAsia="方正小标宋简体" w:cs="方正小标宋简体"/>
          <w:sz w:val="44"/>
          <w:szCs w:val="44"/>
        </w:rPr>
      </w:pP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9"/>
        <w:gridCol w:w="1695"/>
        <w:gridCol w:w="1812"/>
        <w:gridCol w:w="3281"/>
      </w:tblGrid>
      <w:tr w14:paraId="50A9F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9" w:type="dxa"/>
            <w:noWrap w:val="0"/>
            <w:vAlign w:val="center"/>
          </w:tcPr>
          <w:p w14:paraId="3316D85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黑体" w:hAnsi="黑体" w:eastAsia="黑体" w:cs="黑体"/>
                <w:sz w:val="24"/>
                <w:szCs w:val="24"/>
              </w:rPr>
            </w:pPr>
            <w:r>
              <w:rPr>
                <w:rFonts w:hint="eastAsia" w:ascii="黑体" w:hAnsi="黑体" w:eastAsia="黑体" w:cs="黑体"/>
                <w:sz w:val="24"/>
                <w:szCs w:val="24"/>
              </w:rPr>
              <w:t>发生程度分级</w:t>
            </w:r>
          </w:p>
        </w:tc>
        <w:tc>
          <w:tcPr>
            <w:tcW w:w="1695" w:type="dxa"/>
            <w:noWrap w:val="0"/>
            <w:vAlign w:val="center"/>
          </w:tcPr>
          <w:p w14:paraId="0577C4A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黑体" w:hAnsi="黑体" w:eastAsia="黑体" w:cs="黑体"/>
                <w:sz w:val="24"/>
                <w:szCs w:val="24"/>
                <w:lang w:val="en-US" w:eastAsia="zh-CN"/>
              </w:rPr>
            </w:pPr>
            <w:r>
              <w:rPr>
                <w:rFonts w:hint="eastAsia" w:ascii="黑体" w:hAnsi="黑体" w:eastAsia="黑体" w:cs="黑体"/>
                <w:sz w:val="24"/>
                <w:szCs w:val="24"/>
              </w:rPr>
              <w:t>百叶虫道数</w:t>
            </w:r>
            <w:r>
              <w:rPr>
                <w:rFonts w:hint="eastAsia" w:ascii="黑体" w:hAnsi="黑体" w:eastAsia="黑体" w:cs="黑体"/>
                <w:sz w:val="24"/>
                <w:szCs w:val="24"/>
                <w:lang w:eastAsia="zh-CN"/>
              </w:rPr>
              <w:t>（条）</w:t>
            </w:r>
          </w:p>
        </w:tc>
        <w:tc>
          <w:tcPr>
            <w:tcW w:w="1812" w:type="dxa"/>
            <w:noWrap w:val="0"/>
            <w:vAlign w:val="center"/>
          </w:tcPr>
          <w:p w14:paraId="371F9AA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黑体" w:hAnsi="黑体" w:eastAsia="黑体" w:cs="黑体"/>
                <w:sz w:val="24"/>
                <w:szCs w:val="24"/>
                <w:lang w:eastAsia="zh-CN"/>
              </w:rPr>
            </w:pPr>
            <w:r>
              <w:rPr>
                <w:rFonts w:hint="eastAsia" w:ascii="黑体" w:hAnsi="黑体" w:eastAsia="黑体" w:cs="黑体"/>
                <w:sz w:val="24"/>
                <w:szCs w:val="24"/>
              </w:rPr>
              <w:t>被害指数</w:t>
            </w:r>
          </w:p>
        </w:tc>
        <w:tc>
          <w:tcPr>
            <w:tcW w:w="3281" w:type="dxa"/>
            <w:noWrap w:val="0"/>
            <w:vAlign w:val="center"/>
          </w:tcPr>
          <w:p w14:paraId="0AC0061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黑体" w:hAnsi="黑体" w:eastAsia="黑体" w:cs="黑体"/>
                <w:sz w:val="24"/>
                <w:szCs w:val="24"/>
              </w:rPr>
            </w:pPr>
            <w:r>
              <w:rPr>
                <w:rFonts w:hint="eastAsia" w:ascii="黑体" w:hAnsi="黑体" w:eastAsia="黑体" w:cs="黑体"/>
                <w:sz w:val="24"/>
                <w:szCs w:val="24"/>
              </w:rPr>
              <w:t>危害表征</w:t>
            </w:r>
          </w:p>
        </w:tc>
      </w:tr>
      <w:tr w14:paraId="6DABE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929" w:type="dxa"/>
            <w:noWrap w:val="0"/>
            <w:vAlign w:val="center"/>
          </w:tcPr>
          <w:p w14:paraId="423C6411">
            <w:pPr>
              <w:spacing w:line="3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无发生</w:t>
            </w:r>
          </w:p>
        </w:tc>
        <w:tc>
          <w:tcPr>
            <w:tcW w:w="1695" w:type="dxa"/>
            <w:noWrap w:val="0"/>
            <w:vAlign w:val="center"/>
          </w:tcPr>
          <w:p w14:paraId="034C1D22">
            <w:pPr>
              <w:spacing w:line="3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w:t>
            </w:r>
          </w:p>
        </w:tc>
        <w:tc>
          <w:tcPr>
            <w:tcW w:w="1812" w:type="dxa"/>
            <w:noWrap w:val="0"/>
            <w:vAlign w:val="center"/>
          </w:tcPr>
          <w:p w14:paraId="5A6CBC4E">
            <w:pPr>
              <w:spacing w:line="3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w:t>
            </w:r>
          </w:p>
        </w:tc>
        <w:tc>
          <w:tcPr>
            <w:tcW w:w="3281" w:type="dxa"/>
            <w:noWrap w:val="0"/>
            <w:vAlign w:val="center"/>
          </w:tcPr>
          <w:p w14:paraId="3C22CC4E">
            <w:pPr>
              <w:spacing w:line="3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w:t>
            </w:r>
          </w:p>
        </w:tc>
      </w:tr>
      <w:tr w14:paraId="3EBE0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9" w:type="dxa"/>
            <w:noWrap w:val="0"/>
            <w:vAlign w:val="center"/>
          </w:tcPr>
          <w:p w14:paraId="63291EF1">
            <w:pPr>
              <w:spacing w:line="3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轻度发生</w:t>
            </w:r>
          </w:p>
          <w:p w14:paraId="4E674F9F">
            <w:pPr>
              <w:spacing w:line="3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（1级）</w:t>
            </w:r>
          </w:p>
        </w:tc>
        <w:tc>
          <w:tcPr>
            <w:tcW w:w="1695" w:type="dxa"/>
            <w:noWrap w:val="0"/>
            <w:vAlign w:val="center"/>
          </w:tcPr>
          <w:p w14:paraId="1B16400E">
            <w:pPr>
              <w:spacing w:line="3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1812" w:type="dxa"/>
            <w:noWrap w:val="0"/>
            <w:vAlign w:val="center"/>
          </w:tcPr>
          <w:p w14:paraId="6368AEBE">
            <w:pPr>
              <w:spacing w:line="3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w:t>
            </w:r>
          </w:p>
        </w:tc>
        <w:tc>
          <w:tcPr>
            <w:tcW w:w="3281" w:type="dxa"/>
            <w:noWrap w:val="0"/>
            <w:vAlign w:val="center"/>
          </w:tcPr>
          <w:p w14:paraId="5E2CB1E7">
            <w:pPr>
              <w:spacing w:line="36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零星发生，仅有少量叶片出现短而细的潜道，难以发现活虫。</w:t>
            </w:r>
          </w:p>
        </w:tc>
      </w:tr>
      <w:tr w14:paraId="24F88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9" w:type="dxa"/>
            <w:noWrap w:val="0"/>
            <w:vAlign w:val="center"/>
          </w:tcPr>
          <w:p w14:paraId="7A120932">
            <w:pPr>
              <w:spacing w:line="3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偏轻发</w:t>
            </w:r>
          </w:p>
          <w:p w14:paraId="31FEE2FD">
            <w:pPr>
              <w:spacing w:line="3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（2级）</w:t>
            </w:r>
          </w:p>
        </w:tc>
        <w:tc>
          <w:tcPr>
            <w:tcW w:w="1695" w:type="dxa"/>
            <w:noWrap w:val="0"/>
            <w:vAlign w:val="center"/>
          </w:tcPr>
          <w:p w14:paraId="34A096F8">
            <w:pPr>
              <w:spacing w:line="3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5&lt;X≤10</w:t>
            </w:r>
          </w:p>
        </w:tc>
        <w:tc>
          <w:tcPr>
            <w:tcW w:w="1812" w:type="dxa"/>
            <w:noWrap w:val="0"/>
            <w:vAlign w:val="center"/>
          </w:tcPr>
          <w:p w14:paraId="09C9C5CC">
            <w:pPr>
              <w:spacing w:line="3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10&lt;X≤25</w:t>
            </w:r>
          </w:p>
        </w:tc>
        <w:tc>
          <w:tcPr>
            <w:tcW w:w="3281" w:type="dxa"/>
            <w:noWrap w:val="0"/>
            <w:vAlign w:val="center"/>
          </w:tcPr>
          <w:p w14:paraId="3F266A18">
            <w:pPr>
              <w:spacing w:line="36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潜道数量明显增多，但多分布于中下部老叶，上部新生叶和果实无害。</w:t>
            </w:r>
          </w:p>
        </w:tc>
      </w:tr>
      <w:tr w14:paraId="143D2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9" w:type="dxa"/>
            <w:noWrap w:val="0"/>
            <w:vAlign w:val="center"/>
          </w:tcPr>
          <w:p w14:paraId="41D4CB78">
            <w:pPr>
              <w:spacing w:line="3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中等发生</w:t>
            </w:r>
          </w:p>
          <w:p w14:paraId="4EA798CF">
            <w:pPr>
              <w:spacing w:line="3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（3级）</w:t>
            </w:r>
          </w:p>
        </w:tc>
        <w:tc>
          <w:tcPr>
            <w:tcW w:w="1695" w:type="dxa"/>
            <w:noWrap w:val="0"/>
            <w:vAlign w:val="center"/>
          </w:tcPr>
          <w:p w14:paraId="463A5ABB">
            <w:pPr>
              <w:spacing w:line="3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10&lt;X≤20</w:t>
            </w:r>
          </w:p>
        </w:tc>
        <w:tc>
          <w:tcPr>
            <w:tcW w:w="1812" w:type="dxa"/>
            <w:noWrap w:val="0"/>
            <w:vAlign w:val="center"/>
          </w:tcPr>
          <w:p w14:paraId="099AE6AB">
            <w:pPr>
              <w:spacing w:line="3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25&lt;X≤35</w:t>
            </w:r>
          </w:p>
        </w:tc>
        <w:tc>
          <w:tcPr>
            <w:tcW w:w="3281" w:type="dxa"/>
            <w:noWrap w:val="0"/>
            <w:vAlign w:val="center"/>
          </w:tcPr>
          <w:p w14:paraId="638BEA72">
            <w:pPr>
              <w:spacing w:line="36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各层叶片普遍可见潜道，部分叶片枯萎，果实开始出现少量蛀孔。</w:t>
            </w:r>
          </w:p>
        </w:tc>
      </w:tr>
      <w:tr w14:paraId="55B34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9" w:type="dxa"/>
            <w:noWrap w:val="0"/>
            <w:vAlign w:val="center"/>
          </w:tcPr>
          <w:p w14:paraId="23F9ADBB">
            <w:pPr>
              <w:spacing w:line="3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偏重发生</w:t>
            </w:r>
          </w:p>
          <w:p w14:paraId="09C9B605">
            <w:pPr>
              <w:spacing w:line="3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（4级）</w:t>
            </w:r>
          </w:p>
        </w:tc>
        <w:tc>
          <w:tcPr>
            <w:tcW w:w="1695" w:type="dxa"/>
            <w:noWrap w:val="0"/>
            <w:vAlign w:val="center"/>
          </w:tcPr>
          <w:p w14:paraId="1D6F9436">
            <w:pPr>
              <w:spacing w:line="3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20&lt;X≤40</w:t>
            </w:r>
          </w:p>
        </w:tc>
        <w:tc>
          <w:tcPr>
            <w:tcW w:w="1812" w:type="dxa"/>
            <w:noWrap w:val="0"/>
            <w:vAlign w:val="center"/>
          </w:tcPr>
          <w:p w14:paraId="750A7028">
            <w:pPr>
              <w:spacing w:line="3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35&lt;X≤50</w:t>
            </w:r>
          </w:p>
        </w:tc>
        <w:tc>
          <w:tcPr>
            <w:tcW w:w="3281" w:type="dxa"/>
            <w:noWrap w:val="0"/>
            <w:vAlign w:val="center"/>
          </w:tcPr>
          <w:p w14:paraId="599A863A">
            <w:pPr>
              <w:spacing w:line="36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危害严重，潜道密集，叶片大量卷曲、干枯，果实蛀孔率高。 </w:t>
            </w:r>
          </w:p>
        </w:tc>
      </w:tr>
      <w:tr w14:paraId="57A86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9" w:type="dxa"/>
            <w:noWrap w:val="0"/>
            <w:vAlign w:val="center"/>
          </w:tcPr>
          <w:p w14:paraId="0C2606F5">
            <w:pPr>
              <w:spacing w:line="3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重</w:t>
            </w:r>
            <w:r>
              <w:rPr>
                <w:rFonts w:hint="eastAsia" w:ascii="仿宋_GB2312" w:hAnsi="仿宋_GB2312" w:eastAsia="仿宋_GB2312" w:cs="仿宋_GB2312"/>
                <w:sz w:val="24"/>
                <w:szCs w:val="24"/>
              </w:rPr>
              <w:t>发生</w:t>
            </w:r>
          </w:p>
          <w:p w14:paraId="246AD817">
            <w:pPr>
              <w:spacing w:line="3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（5级）</w:t>
            </w:r>
          </w:p>
        </w:tc>
        <w:tc>
          <w:tcPr>
            <w:tcW w:w="1695" w:type="dxa"/>
            <w:noWrap w:val="0"/>
            <w:vAlign w:val="center"/>
          </w:tcPr>
          <w:p w14:paraId="0C8693BE">
            <w:pPr>
              <w:spacing w:line="3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&gt;40</w:t>
            </w:r>
          </w:p>
        </w:tc>
        <w:tc>
          <w:tcPr>
            <w:tcW w:w="1812" w:type="dxa"/>
            <w:noWrap w:val="0"/>
            <w:vAlign w:val="center"/>
          </w:tcPr>
          <w:p w14:paraId="0933CB52">
            <w:pPr>
              <w:spacing w:line="360" w:lineRule="exact"/>
              <w:jc w:val="center"/>
              <w:rPr>
                <w:rFonts w:hint="eastAsia" w:ascii="仿宋_GB2312" w:hAnsi="仿宋_GB2312" w:eastAsia="仿宋_GB2312" w:cs="仿宋_GB2312"/>
                <w:sz w:val="24"/>
                <w:szCs w:val="24"/>
              </w:rPr>
            </w:pPr>
            <w:bookmarkStart w:id="0" w:name="OLE_LINK1"/>
            <w:r>
              <w:rPr>
                <w:rFonts w:hint="eastAsia" w:ascii="仿宋_GB2312" w:hAnsi="仿宋_GB2312" w:eastAsia="仿宋_GB2312" w:cs="仿宋_GB2312"/>
                <w:sz w:val="24"/>
                <w:szCs w:val="24"/>
              </w:rPr>
              <w:t>&gt;50</w:t>
            </w:r>
            <w:bookmarkEnd w:id="0"/>
          </w:p>
        </w:tc>
        <w:tc>
          <w:tcPr>
            <w:tcW w:w="3281" w:type="dxa"/>
            <w:noWrap w:val="0"/>
            <w:vAlign w:val="center"/>
          </w:tcPr>
          <w:p w14:paraId="717A2FBA">
            <w:pPr>
              <w:spacing w:line="360"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灾情严重，大部分植株受害，叶片焦枯，果实几乎无一完好，产量损失巨大。</w:t>
            </w:r>
          </w:p>
        </w:tc>
      </w:tr>
    </w:tbl>
    <w:p w14:paraId="772D848D">
      <w:pPr>
        <w:spacing w:line="400" w:lineRule="exact"/>
        <w:rPr>
          <w:rFonts w:hint="eastAsia" w:ascii="仿宋_GB2312" w:hAnsi="仿宋_GB2312" w:eastAsia="仿宋_GB2312" w:cs="仿宋_GB2312"/>
          <w:b/>
          <w:bCs/>
          <w:szCs w:val="32"/>
        </w:rPr>
      </w:pPr>
    </w:p>
    <w:p w14:paraId="54E647EA">
      <w:pPr>
        <w:spacing w:line="400" w:lineRule="exact"/>
        <w:rPr>
          <w:rFonts w:hint="eastAsia" w:ascii="黑体" w:hAnsi="黑体" w:eastAsia="黑体" w:cs="黑体"/>
          <w:sz w:val="28"/>
          <w:szCs w:val="28"/>
        </w:rPr>
      </w:pPr>
      <w:r>
        <w:rPr>
          <w:rFonts w:hint="eastAsia" w:ascii="黑体" w:hAnsi="黑体" w:eastAsia="黑体" w:cs="黑体"/>
          <w:b w:val="0"/>
          <w:bCs w:val="0"/>
          <w:sz w:val="28"/>
          <w:szCs w:val="28"/>
        </w:rPr>
        <w:t>注：</w:t>
      </w:r>
    </w:p>
    <w:p w14:paraId="5715D543">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百叶虫道数：调查番茄等作物叶片上番茄潜叶蛾幼虫为害的虫道数量，折算成百叶虫道数。</w:t>
      </w:r>
    </w:p>
    <w:p w14:paraId="3E8D9310">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番茄潜叶蛾发生程度分为5级，分别为轻发生（1级）、偏轻发生（2级）、中等发生（3级）、偏重发生（4级）、</w:t>
      </w:r>
      <w:r>
        <w:rPr>
          <w:rFonts w:hint="eastAsia" w:ascii="仿宋_GB2312" w:hAnsi="仿宋_GB2312" w:eastAsia="仿宋_GB2312" w:cs="仿宋_GB2312"/>
          <w:sz w:val="28"/>
          <w:szCs w:val="28"/>
          <w:lang w:eastAsia="zh-CN"/>
        </w:rPr>
        <w:t>重</w:t>
      </w:r>
      <w:r>
        <w:rPr>
          <w:rFonts w:hint="eastAsia" w:ascii="仿宋_GB2312" w:hAnsi="仿宋_GB2312" w:eastAsia="仿宋_GB2312" w:cs="仿宋_GB2312"/>
          <w:sz w:val="28"/>
          <w:szCs w:val="28"/>
        </w:rPr>
        <w:t>发生（5级），以番茄叶害率（百叶虫道数）为主要指标，被害指数为参考指标。</w:t>
      </w:r>
    </w:p>
    <w:p w14:paraId="4291084B">
      <w:pPr>
        <w:spacing w:line="240" w:lineRule="auto"/>
        <w:ind w:firstLine="560" w:firstLineChars="200"/>
        <w:jc w:val="left"/>
        <w:rPr>
          <w:rFonts w:hint="eastAsia" w:ascii="仿宋_GB2312" w:hAnsi="仿宋_GB2312" w:eastAsia="仿宋_GB2312" w:cs="仿宋_GB2312"/>
          <w:sz w:val="44"/>
          <w:szCs w:val="44"/>
        </w:rPr>
      </w:pPr>
      <w:r>
        <w:rPr>
          <w:rFonts w:hint="eastAsia" w:ascii="仿宋_GB2312" w:hAnsi="仿宋_GB2312" w:eastAsia="仿宋_GB2312" w:cs="仿宋_GB2312"/>
          <w:sz w:val="28"/>
          <w:szCs w:val="28"/>
          <w:lang w:val="en-US" w:eastAsia="zh-CN"/>
        </w:rPr>
        <w:t>被害</w:t>
      </w:r>
      <w:r>
        <w:rPr>
          <w:rFonts w:hint="eastAsia" w:ascii="仿宋_GB2312" w:hAnsi="仿宋_GB2312" w:eastAsia="仿宋_GB2312" w:cs="仿宋_GB2312"/>
          <w:sz w:val="28"/>
          <w:szCs w:val="28"/>
        </w:rPr>
        <w:t>指数=[∑(各被害级别叶片数×相应级别值)/(调查总叶数×最高级别值)]×100</w:t>
      </w:r>
    </w:p>
    <w:p w14:paraId="0EE3AE38">
      <w:pPr>
        <w:adjustRightInd w:val="0"/>
        <w:snapToGrid w:val="0"/>
        <w:spacing w:line="440" w:lineRule="exact"/>
        <w:ind w:right="-86" w:rightChars="-41"/>
        <w:jc w:val="left"/>
        <w:rPr>
          <w:rFonts w:hint="eastAsia" w:ascii="黑体" w:hAnsi="黑体" w:eastAsia="黑体" w:cs="黑体"/>
          <w:szCs w:val="32"/>
        </w:rPr>
      </w:pPr>
      <w:r>
        <w:rPr>
          <w:rFonts w:hint="eastAsia" w:ascii="黑体" w:hAnsi="黑体" w:eastAsia="黑体" w:cs="黑体"/>
          <w:szCs w:val="32"/>
        </w:rPr>
        <w:br w:type="page"/>
      </w:r>
      <w:r>
        <w:rPr>
          <w:rFonts w:hint="eastAsia" w:ascii="黑体" w:hAnsi="黑体" w:eastAsia="黑体" w:cs="黑体"/>
          <w:szCs w:val="32"/>
        </w:rPr>
        <w:t>附件</w:t>
      </w:r>
      <w:r>
        <w:rPr>
          <w:rFonts w:hint="eastAsia" w:ascii="黑体" w:hAnsi="黑体" w:eastAsia="黑体" w:cs="黑体"/>
          <w:szCs w:val="32"/>
          <w:lang w:val="en-US" w:eastAsia="zh-CN"/>
        </w:rPr>
        <w:t>3-</w:t>
      </w:r>
      <w:r>
        <w:rPr>
          <w:rFonts w:hint="eastAsia" w:ascii="黑体" w:hAnsi="黑体" w:eastAsia="黑体" w:cs="黑体"/>
          <w:szCs w:val="32"/>
        </w:rPr>
        <w:t>2</w:t>
      </w:r>
    </w:p>
    <w:p w14:paraId="6179BC18">
      <w:pPr>
        <w:spacing w:line="590" w:lineRule="exact"/>
        <w:jc w:val="center"/>
        <w:rPr>
          <w:rFonts w:hint="eastAsia" w:ascii="方正小标宋简体" w:eastAsia="方正小标宋简体"/>
          <w:sz w:val="44"/>
          <w:szCs w:val="44"/>
        </w:rPr>
      </w:pPr>
    </w:p>
    <w:p w14:paraId="732CA572">
      <w:pPr>
        <w:spacing w:line="590" w:lineRule="exact"/>
        <w:jc w:val="center"/>
        <w:rPr>
          <w:rFonts w:hint="eastAsia" w:ascii="方正小标宋简体" w:hAnsi="方正小标宋简体" w:eastAsia="方正小标宋简体" w:cs="方正小标宋简体"/>
          <w:sz w:val="44"/>
          <w:szCs w:val="44"/>
        </w:rPr>
      </w:pPr>
      <w:r>
        <w:rPr>
          <w:rFonts w:hint="eastAsia" w:ascii="方正小标宋简体" w:eastAsia="方正小标宋简体"/>
          <w:sz w:val="44"/>
          <w:szCs w:val="44"/>
        </w:rPr>
        <w:t>番茄潜叶蛾</w:t>
      </w:r>
      <w:r>
        <w:rPr>
          <w:rFonts w:hint="eastAsia" w:ascii="方正小标宋简体" w:hAnsi="方正小标宋简体" w:eastAsia="方正小标宋简体" w:cs="方正小标宋简体"/>
          <w:sz w:val="44"/>
          <w:szCs w:val="44"/>
        </w:rPr>
        <w:t>发生与为害情况调查统计表</w:t>
      </w:r>
    </w:p>
    <w:p w14:paraId="59FF0ACE">
      <w:pPr>
        <w:spacing w:line="590" w:lineRule="exact"/>
        <w:jc w:val="center"/>
        <w:rPr>
          <w:rFonts w:hint="eastAsia" w:ascii="方正小标宋简体" w:hAnsi="方正小标宋简体" w:eastAsia="方正小标宋简体" w:cs="方正小标宋简体"/>
          <w:sz w:val="44"/>
          <w:szCs w:val="44"/>
        </w:rPr>
      </w:pPr>
    </w:p>
    <w:p w14:paraId="01508C71">
      <w:pPr>
        <w:spacing w:line="590" w:lineRule="exact"/>
        <w:rPr>
          <w:rFonts w:hint="eastAsia" w:ascii="仿宋_GB2312" w:hAnsi="仿宋_GB2312" w:eastAsia="仿宋_GB2312" w:cs="仿宋_GB2312"/>
          <w:kern w:val="0"/>
          <w:sz w:val="24"/>
        </w:rPr>
      </w:pPr>
      <w:r>
        <w:rPr>
          <w:rFonts w:hint="eastAsia" w:ascii="仿宋_GB2312" w:hAnsi="仿宋_GB2312" w:eastAsia="仿宋_GB2312" w:cs="仿宋_GB2312"/>
          <w:kern w:val="0"/>
          <w:sz w:val="24"/>
          <w:u w:val="single"/>
        </w:rPr>
        <w:t xml:space="preserve">           </w:t>
      </w:r>
      <w:r>
        <w:rPr>
          <w:rFonts w:hint="eastAsia" w:ascii="仿宋_GB2312" w:hAnsi="仿宋_GB2312" w:eastAsia="仿宋_GB2312" w:cs="仿宋_GB2312"/>
          <w:kern w:val="0"/>
          <w:sz w:val="24"/>
        </w:rPr>
        <w:t>市             填表人：              填表日期：</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1510"/>
        <w:gridCol w:w="1510"/>
        <w:gridCol w:w="1510"/>
        <w:gridCol w:w="1510"/>
        <w:gridCol w:w="1510"/>
      </w:tblGrid>
      <w:tr w14:paraId="3FA68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510" w:type="dxa"/>
            <w:noWrap w:val="0"/>
            <w:vAlign w:val="center"/>
          </w:tcPr>
          <w:p w14:paraId="0E9FC5ED">
            <w:pPr>
              <w:adjustRightInd w:val="0"/>
              <w:snapToGrid w:val="0"/>
              <w:spacing w:line="360" w:lineRule="exact"/>
              <w:jc w:val="center"/>
              <w:rPr>
                <w:rFonts w:hint="eastAsia" w:ascii="黑体" w:hAnsi="黑体" w:eastAsia="黑体" w:cs="黑体"/>
                <w:kern w:val="0"/>
                <w:sz w:val="24"/>
                <w:szCs w:val="24"/>
              </w:rPr>
            </w:pPr>
            <w:r>
              <w:rPr>
                <w:rFonts w:hint="eastAsia" w:ascii="黑体" w:hAnsi="黑体" w:eastAsia="黑体" w:cs="黑体"/>
                <w:kern w:val="0"/>
                <w:sz w:val="24"/>
                <w:szCs w:val="24"/>
              </w:rPr>
              <w:t>调查日期</w:t>
            </w:r>
          </w:p>
        </w:tc>
        <w:tc>
          <w:tcPr>
            <w:tcW w:w="1510" w:type="dxa"/>
            <w:noWrap w:val="0"/>
            <w:vAlign w:val="center"/>
          </w:tcPr>
          <w:p w14:paraId="0A69C1A7">
            <w:pPr>
              <w:adjustRightInd w:val="0"/>
              <w:snapToGrid w:val="0"/>
              <w:spacing w:line="360" w:lineRule="exact"/>
              <w:jc w:val="center"/>
              <w:rPr>
                <w:rFonts w:hint="eastAsia" w:ascii="黑体" w:hAnsi="黑体" w:eastAsia="黑体" w:cs="黑体"/>
                <w:kern w:val="0"/>
                <w:sz w:val="24"/>
              </w:rPr>
            </w:pPr>
            <w:r>
              <w:rPr>
                <w:rFonts w:hint="eastAsia" w:ascii="黑体" w:hAnsi="黑体" w:eastAsia="黑体" w:cs="黑体"/>
                <w:kern w:val="0"/>
                <w:sz w:val="24"/>
              </w:rPr>
              <w:t>调查地点</w:t>
            </w:r>
          </w:p>
        </w:tc>
        <w:tc>
          <w:tcPr>
            <w:tcW w:w="1510" w:type="dxa"/>
            <w:noWrap w:val="0"/>
            <w:vAlign w:val="center"/>
          </w:tcPr>
          <w:p w14:paraId="1D45D345">
            <w:pPr>
              <w:adjustRightInd w:val="0"/>
              <w:snapToGrid w:val="0"/>
              <w:spacing w:line="360" w:lineRule="exact"/>
              <w:jc w:val="center"/>
              <w:rPr>
                <w:rFonts w:hint="eastAsia" w:ascii="黑体" w:hAnsi="黑体" w:eastAsia="黑体" w:cs="黑体"/>
                <w:kern w:val="0"/>
                <w:sz w:val="24"/>
              </w:rPr>
            </w:pPr>
            <w:r>
              <w:rPr>
                <w:rFonts w:hint="eastAsia" w:ascii="黑体" w:hAnsi="黑体" w:eastAsia="黑体" w:cs="黑体"/>
                <w:kern w:val="0"/>
                <w:sz w:val="24"/>
              </w:rPr>
              <w:t>调查面积</w:t>
            </w:r>
          </w:p>
          <w:p w14:paraId="6D8A4075">
            <w:pPr>
              <w:adjustRightInd w:val="0"/>
              <w:snapToGrid w:val="0"/>
              <w:spacing w:line="360" w:lineRule="exact"/>
              <w:jc w:val="center"/>
              <w:rPr>
                <w:rFonts w:hint="eastAsia" w:ascii="黑体" w:hAnsi="黑体" w:eastAsia="黑体" w:cs="黑体"/>
                <w:kern w:val="0"/>
                <w:sz w:val="24"/>
              </w:rPr>
            </w:pPr>
            <w:r>
              <w:rPr>
                <w:rFonts w:hint="eastAsia" w:ascii="黑体" w:hAnsi="黑体" w:eastAsia="黑体" w:cs="黑体"/>
                <w:kern w:val="0"/>
                <w:sz w:val="24"/>
              </w:rPr>
              <w:t>（亩）</w:t>
            </w:r>
          </w:p>
        </w:tc>
        <w:tc>
          <w:tcPr>
            <w:tcW w:w="1510" w:type="dxa"/>
            <w:noWrap w:val="0"/>
            <w:vAlign w:val="center"/>
          </w:tcPr>
          <w:p w14:paraId="1DE25905">
            <w:pPr>
              <w:adjustRightInd w:val="0"/>
              <w:snapToGrid w:val="0"/>
              <w:spacing w:line="360" w:lineRule="exact"/>
              <w:jc w:val="center"/>
              <w:rPr>
                <w:rFonts w:hint="eastAsia" w:ascii="黑体" w:hAnsi="黑体" w:eastAsia="黑体" w:cs="黑体"/>
                <w:kern w:val="0"/>
                <w:sz w:val="24"/>
              </w:rPr>
            </w:pPr>
            <w:r>
              <w:rPr>
                <w:rFonts w:hint="eastAsia" w:ascii="黑体" w:hAnsi="黑体" w:eastAsia="黑体" w:cs="黑体"/>
                <w:kern w:val="0"/>
                <w:sz w:val="24"/>
              </w:rPr>
              <w:t>发生面积</w:t>
            </w:r>
          </w:p>
          <w:p w14:paraId="77CD9973">
            <w:pPr>
              <w:adjustRightInd w:val="0"/>
              <w:snapToGrid w:val="0"/>
              <w:spacing w:line="360" w:lineRule="exact"/>
              <w:jc w:val="center"/>
              <w:rPr>
                <w:rFonts w:hint="eastAsia" w:ascii="黑体" w:hAnsi="黑体" w:eastAsia="黑体" w:cs="黑体"/>
                <w:kern w:val="0"/>
                <w:sz w:val="24"/>
              </w:rPr>
            </w:pPr>
            <w:r>
              <w:rPr>
                <w:rFonts w:hint="eastAsia" w:ascii="黑体" w:hAnsi="黑体" w:eastAsia="黑体" w:cs="黑体"/>
                <w:kern w:val="0"/>
                <w:sz w:val="24"/>
              </w:rPr>
              <w:t>（亩）</w:t>
            </w:r>
          </w:p>
        </w:tc>
        <w:tc>
          <w:tcPr>
            <w:tcW w:w="1510" w:type="dxa"/>
            <w:noWrap w:val="0"/>
            <w:vAlign w:val="center"/>
          </w:tcPr>
          <w:p w14:paraId="4E2BD8F0">
            <w:pPr>
              <w:adjustRightInd w:val="0"/>
              <w:snapToGrid w:val="0"/>
              <w:spacing w:line="360" w:lineRule="exact"/>
              <w:jc w:val="center"/>
              <w:rPr>
                <w:rFonts w:hint="eastAsia" w:ascii="黑体" w:hAnsi="黑体" w:eastAsia="黑体" w:cs="黑体"/>
                <w:kern w:val="0"/>
                <w:sz w:val="24"/>
              </w:rPr>
            </w:pPr>
            <w:r>
              <w:rPr>
                <w:rFonts w:hint="eastAsia" w:ascii="黑体" w:hAnsi="黑体" w:eastAsia="黑体" w:cs="黑体"/>
                <w:kern w:val="0"/>
                <w:sz w:val="24"/>
              </w:rPr>
              <w:t>发生程度</w:t>
            </w:r>
          </w:p>
          <w:p w14:paraId="1A2A44E3">
            <w:pPr>
              <w:adjustRightInd w:val="0"/>
              <w:snapToGrid w:val="0"/>
              <w:spacing w:line="360" w:lineRule="exact"/>
              <w:jc w:val="center"/>
              <w:rPr>
                <w:rFonts w:hint="eastAsia" w:ascii="黑体" w:hAnsi="黑体" w:eastAsia="黑体" w:cs="黑体"/>
                <w:kern w:val="0"/>
                <w:sz w:val="24"/>
              </w:rPr>
            </w:pPr>
            <w:r>
              <w:rPr>
                <w:rFonts w:hint="eastAsia" w:ascii="黑体" w:hAnsi="黑体" w:eastAsia="黑体" w:cs="黑体"/>
                <w:kern w:val="0"/>
                <w:sz w:val="24"/>
              </w:rPr>
              <w:t>（级）</w:t>
            </w:r>
          </w:p>
        </w:tc>
        <w:tc>
          <w:tcPr>
            <w:tcW w:w="1510" w:type="dxa"/>
            <w:noWrap w:val="0"/>
            <w:vAlign w:val="center"/>
          </w:tcPr>
          <w:p w14:paraId="25642C2B">
            <w:pPr>
              <w:adjustRightInd w:val="0"/>
              <w:snapToGrid w:val="0"/>
              <w:spacing w:line="360" w:lineRule="exact"/>
              <w:jc w:val="center"/>
              <w:rPr>
                <w:rFonts w:hint="eastAsia" w:ascii="黑体" w:hAnsi="黑体" w:eastAsia="黑体" w:cs="黑体"/>
                <w:kern w:val="0"/>
                <w:sz w:val="24"/>
              </w:rPr>
            </w:pPr>
            <w:r>
              <w:rPr>
                <w:rFonts w:hint="eastAsia" w:ascii="黑体" w:hAnsi="黑体" w:eastAsia="黑体" w:cs="黑体"/>
                <w:kern w:val="0"/>
                <w:sz w:val="24"/>
              </w:rPr>
              <w:t>备注</w:t>
            </w:r>
          </w:p>
        </w:tc>
      </w:tr>
      <w:tr w14:paraId="1C142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510" w:type="dxa"/>
            <w:noWrap w:val="0"/>
            <w:vAlign w:val="top"/>
          </w:tcPr>
          <w:p w14:paraId="1B12C69B">
            <w:pPr>
              <w:spacing w:line="590" w:lineRule="exact"/>
              <w:rPr>
                <w:rFonts w:hint="eastAsia" w:ascii="仿宋_GB2312" w:hAnsi="仿宋_GB2312" w:eastAsia="仿宋_GB2312" w:cs="仿宋_GB2312"/>
                <w:kern w:val="0"/>
                <w:sz w:val="24"/>
              </w:rPr>
            </w:pPr>
          </w:p>
        </w:tc>
        <w:tc>
          <w:tcPr>
            <w:tcW w:w="1510" w:type="dxa"/>
            <w:noWrap w:val="0"/>
            <w:vAlign w:val="top"/>
          </w:tcPr>
          <w:p w14:paraId="1977ED4E">
            <w:pPr>
              <w:spacing w:line="590" w:lineRule="exact"/>
              <w:rPr>
                <w:rFonts w:hint="eastAsia" w:ascii="仿宋_GB2312" w:hAnsi="仿宋_GB2312" w:eastAsia="仿宋_GB2312" w:cs="仿宋_GB2312"/>
                <w:kern w:val="0"/>
                <w:sz w:val="24"/>
              </w:rPr>
            </w:pPr>
          </w:p>
        </w:tc>
        <w:tc>
          <w:tcPr>
            <w:tcW w:w="1510" w:type="dxa"/>
            <w:noWrap w:val="0"/>
            <w:vAlign w:val="top"/>
          </w:tcPr>
          <w:p w14:paraId="4AAE9371">
            <w:pPr>
              <w:spacing w:line="590" w:lineRule="exact"/>
              <w:rPr>
                <w:rFonts w:hint="eastAsia" w:ascii="仿宋_GB2312" w:hAnsi="仿宋_GB2312" w:eastAsia="仿宋_GB2312" w:cs="仿宋_GB2312"/>
                <w:kern w:val="0"/>
                <w:sz w:val="24"/>
              </w:rPr>
            </w:pPr>
          </w:p>
        </w:tc>
        <w:tc>
          <w:tcPr>
            <w:tcW w:w="1510" w:type="dxa"/>
            <w:noWrap w:val="0"/>
            <w:vAlign w:val="top"/>
          </w:tcPr>
          <w:p w14:paraId="7ECBB85C">
            <w:pPr>
              <w:spacing w:line="590" w:lineRule="exact"/>
              <w:rPr>
                <w:rFonts w:hint="eastAsia" w:ascii="仿宋_GB2312" w:hAnsi="仿宋_GB2312" w:eastAsia="仿宋_GB2312" w:cs="仿宋_GB2312"/>
                <w:kern w:val="0"/>
                <w:sz w:val="24"/>
              </w:rPr>
            </w:pPr>
          </w:p>
        </w:tc>
        <w:tc>
          <w:tcPr>
            <w:tcW w:w="1510" w:type="dxa"/>
            <w:noWrap w:val="0"/>
            <w:vAlign w:val="top"/>
          </w:tcPr>
          <w:p w14:paraId="11E51A05">
            <w:pPr>
              <w:spacing w:line="590" w:lineRule="exact"/>
              <w:rPr>
                <w:rFonts w:hint="eastAsia" w:ascii="仿宋_GB2312" w:hAnsi="仿宋_GB2312" w:eastAsia="仿宋_GB2312" w:cs="仿宋_GB2312"/>
                <w:kern w:val="0"/>
                <w:sz w:val="24"/>
              </w:rPr>
            </w:pPr>
          </w:p>
        </w:tc>
        <w:tc>
          <w:tcPr>
            <w:tcW w:w="1510" w:type="dxa"/>
            <w:noWrap w:val="0"/>
            <w:vAlign w:val="top"/>
          </w:tcPr>
          <w:p w14:paraId="00DF0CDD">
            <w:pPr>
              <w:spacing w:line="590" w:lineRule="exact"/>
              <w:rPr>
                <w:rFonts w:hint="eastAsia" w:ascii="仿宋_GB2312" w:hAnsi="仿宋_GB2312" w:eastAsia="仿宋_GB2312" w:cs="仿宋_GB2312"/>
                <w:kern w:val="0"/>
                <w:sz w:val="24"/>
              </w:rPr>
            </w:pPr>
          </w:p>
        </w:tc>
      </w:tr>
      <w:tr w14:paraId="77763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510" w:type="dxa"/>
            <w:noWrap w:val="0"/>
            <w:vAlign w:val="top"/>
          </w:tcPr>
          <w:p w14:paraId="0D0BC623">
            <w:pPr>
              <w:spacing w:line="590" w:lineRule="exact"/>
              <w:rPr>
                <w:rFonts w:hint="eastAsia" w:ascii="仿宋_GB2312" w:hAnsi="仿宋_GB2312" w:eastAsia="仿宋_GB2312" w:cs="仿宋_GB2312"/>
                <w:kern w:val="0"/>
                <w:sz w:val="24"/>
              </w:rPr>
            </w:pPr>
          </w:p>
        </w:tc>
        <w:tc>
          <w:tcPr>
            <w:tcW w:w="1510" w:type="dxa"/>
            <w:noWrap w:val="0"/>
            <w:vAlign w:val="top"/>
          </w:tcPr>
          <w:p w14:paraId="6775F33B">
            <w:pPr>
              <w:spacing w:line="590" w:lineRule="exact"/>
              <w:rPr>
                <w:rFonts w:hint="eastAsia" w:ascii="仿宋_GB2312" w:hAnsi="仿宋_GB2312" w:eastAsia="仿宋_GB2312" w:cs="仿宋_GB2312"/>
                <w:kern w:val="0"/>
                <w:sz w:val="24"/>
              </w:rPr>
            </w:pPr>
          </w:p>
        </w:tc>
        <w:tc>
          <w:tcPr>
            <w:tcW w:w="1510" w:type="dxa"/>
            <w:noWrap w:val="0"/>
            <w:vAlign w:val="top"/>
          </w:tcPr>
          <w:p w14:paraId="6956985A">
            <w:pPr>
              <w:spacing w:line="590" w:lineRule="exact"/>
              <w:rPr>
                <w:rFonts w:hint="eastAsia" w:ascii="仿宋_GB2312" w:hAnsi="仿宋_GB2312" w:eastAsia="仿宋_GB2312" w:cs="仿宋_GB2312"/>
                <w:kern w:val="0"/>
                <w:sz w:val="24"/>
              </w:rPr>
            </w:pPr>
          </w:p>
        </w:tc>
        <w:tc>
          <w:tcPr>
            <w:tcW w:w="1510" w:type="dxa"/>
            <w:noWrap w:val="0"/>
            <w:vAlign w:val="top"/>
          </w:tcPr>
          <w:p w14:paraId="59B9B8B6">
            <w:pPr>
              <w:spacing w:line="590" w:lineRule="exact"/>
              <w:rPr>
                <w:rFonts w:hint="eastAsia" w:ascii="仿宋_GB2312" w:hAnsi="仿宋_GB2312" w:eastAsia="仿宋_GB2312" w:cs="仿宋_GB2312"/>
                <w:kern w:val="0"/>
                <w:sz w:val="24"/>
              </w:rPr>
            </w:pPr>
          </w:p>
        </w:tc>
        <w:tc>
          <w:tcPr>
            <w:tcW w:w="1510" w:type="dxa"/>
            <w:noWrap w:val="0"/>
            <w:vAlign w:val="top"/>
          </w:tcPr>
          <w:p w14:paraId="1B2147F9">
            <w:pPr>
              <w:spacing w:line="590" w:lineRule="exact"/>
              <w:rPr>
                <w:rFonts w:hint="eastAsia" w:ascii="仿宋_GB2312" w:hAnsi="仿宋_GB2312" w:eastAsia="仿宋_GB2312" w:cs="仿宋_GB2312"/>
                <w:kern w:val="0"/>
                <w:sz w:val="24"/>
              </w:rPr>
            </w:pPr>
          </w:p>
        </w:tc>
        <w:tc>
          <w:tcPr>
            <w:tcW w:w="1510" w:type="dxa"/>
            <w:noWrap w:val="0"/>
            <w:vAlign w:val="top"/>
          </w:tcPr>
          <w:p w14:paraId="1040BD4A">
            <w:pPr>
              <w:spacing w:line="590" w:lineRule="exact"/>
              <w:rPr>
                <w:rFonts w:hint="eastAsia" w:ascii="仿宋_GB2312" w:hAnsi="仿宋_GB2312" w:eastAsia="仿宋_GB2312" w:cs="仿宋_GB2312"/>
                <w:kern w:val="0"/>
                <w:sz w:val="24"/>
              </w:rPr>
            </w:pPr>
          </w:p>
        </w:tc>
      </w:tr>
      <w:tr w14:paraId="102CE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510" w:type="dxa"/>
            <w:noWrap w:val="0"/>
            <w:vAlign w:val="top"/>
          </w:tcPr>
          <w:p w14:paraId="6EC41CAB">
            <w:pPr>
              <w:spacing w:line="590" w:lineRule="exact"/>
              <w:rPr>
                <w:rFonts w:hint="eastAsia" w:ascii="仿宋_GB2312" w:hAnsi="仿宋_GB2312" w:eastAsia="仿宋_GB2312" w:cs="仿宋_GB2312"/>
                <w:kern w:val="0"/>
                <w:sz w:val="24"/>
              </w:rPr>
            </w:pPr>
          </w:p>
        </w:tc>
        <w:tc>
          <w:tcPr>
            <w:tcW w:w="1510" w:type="dxa"/>
            <w:noWrap w:val="0"/>
            <w:vAlign w:val="top"/>
          </w:tcPr>
          <w:p w14:paraId="7E59EEEF">
            <w:pPr>
              <w:spacing w:line="590" w:lineRule="exact"/>
              <w:rPr>
                <w:rFonts w:hint="eastAsia" w:ascii="仿宋_GB2312" w:hAnsi="仿宋_GB2312" w:eastAsia="仿宋_GB2312" w:cs="仿宋_GB2312"/>
                <w:kern w:val="0"/>
                <w:sz w:val="24"/>
              </w:rPr>
            </w:pPr>
          </w:p>
        </w:tc>
        <w:tc>
          <w:tcPr>
            <w:tcW w:w="1510" w:type="dxa"/>
            <w:noWrap w:val="0"/>
            <w:vAlign w:val="top"/>
          </w:tcPr>
          <w:p w14:paraId="6D0D63FE">
            <w:pPr>
              <w:spacing w:line="590" w:lineRule="exact"/>
              <w:rPr>
                <w:rFonts w:hint="eastAsia" w:ascii="仿宋_GB2312" w:hAnsi="仿宋_GB2312" w:eastAsia="仿宋_GB2312" w:cs="仿宋_GB2312"/>
                <w:kern w:val="0"/>
                <w:sz w:val="24"/>
              </w:rPr>
            </w:pPr>
          </w:p>
        </w:tc>
        <w:tc>
          <w:tcPr>
            <w:tcW w:w="1510" w:type="dxa"/>
            <w:noWrap w:val="0"/>
            <w:vAlign w:val="top"/>
          </w:tcPr>
          <w:p w14:paraId="7557DFE2">
            <w:pPr>
              <w:spacing w:line="590" w:lineRule="exact"/>
              <w:rPr>
                <w:rFonts w:hint="eastAsia" w:ascii="仿宋_GB2312" w:hAnsi="仿宋_GB2312" w:eastAsia="仿宋_GB2312" w:cs="仿宋_GB2312"/>
                <w:kern w:val="0"/>
                <w:sz w:val="24"/>
              </w:rPr>
            </w:pPr>
          </w:p>
        </w:tc>
        <w:tc>
          <w:tcPr>
            <w:tcW w:w="1510" w:type="dxa"/>
            <w:noWrap w:val="0"/>
            <w:vAlign w:val="top"/>
          </w:tcPr>
          <w:p w14:paraId="264D704B">
            <w:pPr>
              <w:spacing w:line="590" w:lineRule="exact"/>
              <w:rPr>
                <w:rFonts w:hint="eastAsia" w:ascii="仿宋_GB2312" w:hAnsi="仿宋_GB2312" w:eastAsia="仿宋_GB2312" w:cs="仿宋_GB2312"/>
                <w:kern w:val="0"/>
                <w:sz w:val="24"/>
              </w:rPr>
            </w:pPr>
          </w:p>
        </w:tc>
        <w:tc>
          <w:tcPr>
            <w:tcW w:w="1510" w:type="dxa"/>
            <w:noWrap w:val="0"/>
            <w:vAlign w:val="top"/>
          </w:tcPr>
          <w:p w14:paraId="065CF761">
            <w:pPr>
              <w:spacing w:line="590" w:lineRule="exact"/>
              <w:rPr>
                <w:rFonts w:hint="eastAsia" w:ascii="仿宋_GB2312" w:hAnsi="仿宋_GB2312" w:eastAsia="仿宋_GB2312" w:cs="仿宋_GB2312"/>
                <w:kern w:val="0"/>
                <w:sz w:val="24"/>
              </w:rPr>
            </w:pPr>
          </w:p>
        </w:tc>
      </w:tr>
    </w:tbl>
    <w:p w14:paraId="67B8864F">
      <w:pPr>
        <w:widowControl w:val="0"/>
        <w:adjustRightInd w:val="0"/>
        <w:snapToGrid w:val="0"/>
        <w:spacing w:line="500" w:lineRule="exact"/>
        <w:ind w:left="0" w:hanging="480" w:hangingChars="200"/>
        <w:jc w:val="left"/>
        <w:rPr>
          <w:rFonts w:ascii="仿宋_GB2312" w:hAnsi="仿宋_GB2312" w:eastAsia="仿宋_GB2312" w:cs="仿宋_GB2312"/>
          <w:kern w:val="0"/>
          <w:sz w:val="24"/>
        </w:rPr>
      </w:pPr>
      <w:r>
        <w:rPr>
          <w:rFonts w:hint="eastAsia" w:ascii="黑体" w:hAnsi="黑体" w:eastAsia="黑体" w:cs="黑体"/>
          <w:sz w:val="24"/>
          <w:szCs w:val="24"/>
        </w:rPr>
        <w:t>注：</w:t>
      </w:r>
      <w:r>
        <w:rPr>
          <w:rFonts w:hint="eastAsia" w:ascii="仿宋_GB2312" w:hAnsi="仿宋_GB2312" w:eastAsia="仿宋_GB2312" w:cs="仿宋_GB2312"/>
          <w:sz w:val="24"/>
          <w:szCs w:val="24"/>
        </w:rPr>
        <w:t>调查地点按县（市、区）、镇（街）、村（社区）填写；发生程度对照附件</w:t>
      </w:r>
      <w:r>
        <w:rPr>
          <w:rFonts w:ascii="仿宋_GB2312" w:hAnsi="仿宋_GB2312" w:eastAsia="仿宋_GB2312" w:cs="仿宋_GB2312"/>
          <w:sz w:val="24"/>
          <w:szCs w:val="24"/>
          <w:lang w:val="en"/>
        </w:rPr>
        <w:t>1</w:t>
      </w:r>
      <w:r>
        <w:rPr>
          <w:rFonts w:hint="eastAsia" w:ascii="仿宋_GB2312" w:hAnsi="仿宋_GB2312" w:eastAsia="仿宋_GB2312" w:cs="仿宋_GB2312"/>
          <w:sz w:val="24"/>
          <w:szCs w:val="24"/>
        </w:rPr>
        <w:t>的分级标准来填写。</w:t>
      </w:r>
    </w:p>
    <w:p w14:paraId="484CF997">
      <w:pPr>
        <w:adjustRightInd w:val="0"/>
        <w:snapToGrid w:val="0"/>
        <w:spacing w:line="590" w:lineRule="exact"/>
        <w:ind w:right="157"/>
        <w:rPr>
          <w:rFonts w:hint="eastAsia"/>
          <w:snapToGrid w:val="0"/>
          <w:kern w:val="0"/>
        </w:rPr>
      </w:pPr>
    </w:p>
    <w:p w14:paraId="7B5D20DA">
      <w:pPr>
        <w:adjustRightInd w:val="0"/>
        <w:snapToGrid w:val="0"/>
        <w:spacing w:line="590" w:lineRule="exact"/>
        <w:ind w:right="157"/>
        <w:rPr>
          <w:rFonts w:hint="eastAsia"/>
          <w:snapToGrid w:val="0"/>
          <w:kern w:val="0"/>
        </w:rPr>
      </w:pPr>
    </w:p>
    <w:p w14:paraId="70413600">
      <w:pPr>
        <w:pStyle w:val="20"/>
        <w:ind w:left="1050" w:leftChars="100" w:right="210" w:rightChars="100" w:hanging="840" w:hangingChars="300"/>
        <w:rPr>
          <w:rFonts w:hint="eastAsia"/>
          <w:sz w:val="28"/>
          <w:szCs w:val="28"/>
        </w:rPr>
      </w:pPr>
    </w:p>
    <w:p w14:paraId="5AB7B0E1">
      <w:pPr>
        <w:pStyle w:val="20"/>
        <w:ind w:left="1050" w:leftChars="100" w:right="210" w:rightChars="100" w:hanging="840" w:hangingChars="300"/>
        <w:rPr>
          <w:rFonts w:hint="eastAsia"/>
          <w:sz w:val="28"/>
          <w:szCs w:val="28"/>
        </w:rPr>
      </w:pPr>
    </w:p>
    <w:p w14:paraId="76A779FF">
      <w:pPr>
        <w:pStyle w:val="20"/>
        <w:ind w:left="840" w:leftChars="100" w:right="210" w:rightChars="100" w:hanging="630" w:hangingChars="300"/>
        <w:rPr>
          <w:rFonts w:hint="eastAsia"/>
        </w:rPr>
      </w:pPr>
    </w:p>
    <w:p w14:paraId="55F16B0B"/>
    <w:p w14:paraId="65A3BD76">
      <w:pPr>
        <w:keepNext w:val="0"/>
        <w:keepLines w:val="0"/>
        <w:pageBreakBefore w:val="0"/>
        <w:widowControl w:val="0"/>
        <w:kinsoku/>
        <w:wordWrap/>
        <w:overflowPunct/>
        <w:topLinePunct/>
        <w:autoSpaceDE/>
        <w:autoSpaceDN/>
        <w:bidi w:val="0"/>
        <w:adjustRightInd w:val="0"/>
        <w:snapToGrid w:val="0"/>
        <w:spacing w:line="360" w:lineRule="auto"/>
        <w:textAlignment w:val="auto"/>
        <w:rPr>
          <w:rFonts w:hint="default" w:ascii="Times New Roman" w:hAnsi="Times New Roman" w:cs="Times New Roman"/>
          <w:lang w:eastAsia="zh-CN"/>
        </w:rPr>
      </w:pPr>
    </w:p>
    <w:sectPr>
      <w:footerReference r:id="rId3" w:type="default"/>
      <w:pgSz w:w="11906" w:h="16838"/>
      <w:pgMar w:top="1440" w:right="1474" w:bottom="1440" w:left="1474"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方正小标宋简体">
    <w:panose1 w:val="02010601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5EC5D3">
    <w:pPr>
      <w:pStyle w:val="5"/>
      <w:framePr w:wrap="around" w:vAnchor="text" w:hAnchor="margin" w:xAlign="center" w:y="3"/>
      <w:rPr>
        <w:rStyle w:val="13"/>
      </w:rPr>
    </w:pPr>
    <w:r>
      <w:fldChar w:fldCharType="begin"/>
    </w:r>
    <w:r>
      <w:rPr>
        <w:rStyle w:val="13"/>
      </w:rPr>
      <w:instrText xml:space="preserve">PAGE  </w:instrText>
    </w:r>
    <w:r>
      <w:fldChar w:fldCharType="separate"/>
    </w:r>
    <w:r>
      <w:rPr>
        <w:rStyle w:val="13"/>
      </w:rPr>
      <w:t>1</w:t>
    </w:r>
    <w:r>
      <w:fldChar w:fldCharType="end"/>
    </w:r>
  </w:p>
  <w:p w14:paraId="7F9E8E4B">
    <w:pPr>
      <w:pStyle w:val="5"/>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hyphenationZone w:val="36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llOGJhZjBkZDI4ZGM3M2JkOWFjZDNjYzY1OGRlN2IifQ=="/>
  </w:docVars>
  <w:rsids>
    <w:rsidRoot w:val="5D0D4D9B"/>
    <w:rsid w:val="00471C73"/>
    <w:rsid w:val="004B114B"/>
    <w:rsid w:val="005D61BA"/>
    <w:rsid w:val="009D5802"/>
    <w:rsid w:val="00B27F5F"/>
    <w:rsid w:val="00C9072E"/>
    <w:rsid w:val="00F3277A"/>
    <w:rsid w:val="00F719DA"/>
    <w:rsid w:val="0140636B"/>
    <w:rsid w:val="014E3A7F"/>
    <w:rsid w:val="016C1C24"/>
    <w:rsid w:val="018B7AA4"/>
    <w:rsid w:val="019A796B"/>
    <w:rsid w:val="01B84965"/>
    <w:rsid w:val="01BF17FB"/>
    <w:rsid w:val="020C0810"/>
    <w:rsid w:val="026C3DD5"/>
    <w:rsid w:val="028A0C36"/>
    <w:rsid w:val="03481739"/>
    <w:rsid w:val="034B1DF5"/>
    <w:rsid w:val="03554E31"/>
    <w:rsid w:val="03F75471"/>
    <w:rsid w:val="044B1342"/>
    <w:rsid w:val="045A2616"/>
    <w:rsid w:val="047B62D9"/>
    <w:rsid w:val="04A42AE3"/>
    <w:rsid w:val="04B05114"/>
    <w:rsid w:val="04B54C9C"/>
    <w:rsid w:val="04DA7B99"/>
    <w:rsid w:val="04E17B93"/>
    <w:rsid w:val="04EF4D64"/>
    <w:rsid w:val="056550BF"/>
    <w:rsid w:val="05906AAF"/>
    <w:rsid w:val="059439F6"/>
    <w:rsid w:val="06DD6A8F"/>
    <w:rsid w:val="06EE25CF"/>
    <w:rsid w:val="074F4623"/>
    <w:rsid w:val="075F5CB4"/>
    <w:rsid w:val="07647BCF"/>
    <w:rsid w:val="07A608FE"/>
    <w:rsid w:val="07DB75DF"/>
    <w:rsid w:val="07E92055"/>
    <w:rsid w:val="080B7A4D"/>
    <w:rsid w:val="081A6BF4"/>
    <w:rsid w:val="082609CE"/>
    <w:rsid w:val="0874083C"/>
    <w:rsid w:val="08832038"/>
    <w:rsid w:val="08FA3336"/>
    <w:rsid w:val="09293A2F"/>
    <w:rsid w:val="096F122A"/>
    <w:rsid w:val="098C7B42"/>
    <w:rsid w:val="09A869BC"/>
    <w:rsid w:val="09BA060C"/>
    <w:rsid w:val="09D60C79"/>
    <w:rsid w:val="0A073781"/>
    <w:rsid w:val="0A241978"/>
    <w:rsid w:val="0A836933"/>
    <w:rsid w:val="0AA044FB"/>
    <w:rsid w:val="0AFC2252"/>
    <w:rsid w:val="0B104F0B"/>
    <w:rsid w:val="0B2E2B44"/>
    <w:rsid w:val="0B4E06C3"/>
    <w:rsid w:val="0B675F67"/>
    <w:rsid w:val="0B795660"/>
    <w:rsid w:val="0B7A4F51"/>
    <w:rsid w:val="0B7F2554"/>
    <w:rsid w:val="0BC414DD"/>
    <w:rsid w:val="0BCE78B4"/>
    <w:rsid w:val="0BCF728F"/>
    <w:rsid w:val="0BD114DC"/>
    <w:rsid w:val="0C100FE7"/>
    <w:rsid w:val="0C3F5057"/>
    <w:rsid w:val="0C7A0083"/>
    <w:rsid w:val="0C7A1B71"/>
    <w:rsid w:val="0C800C48"/>
    <w:rsid w:val="0C9073A3"/>
    <w:rsid w:val="0C9F4E03"/>
    <w:rsid w:val="0CC72096"/>
    <w:rsid w:val="0CCE71A0"/>
    <w:rsid w:val="0CD80A28"/>
    <w:rsid w:val="0D1420C1"/>
    <w:rsid w:val="0DA91BAD"/>
    <w:rsid w:val="0DD06C7C"/>
    <w:rsid w:val="0DF5328B"/>
    <w:rsid w:val="0E082052"/>
    <w:rsid w:val="0E5B6625"/>
    <w:rsid w:val="0F163527"/>
    <w:rsid w:val="0F692731"/>
    <w:rsid w:val="0F811053"/>
    <w:rsid w:val="0FA62BA3"/>
    <w:rsid w:val="0FC7563E"/>
    <w:rsid w:val="0FDE6428"/>
    <w:rsid w:val="103807E0"/>
    <w:rsid w:val="105C41B9"/>
    <w:rsid w:val="106938FD"/>
    <w:rsid w:val="10916A46"/>
    <w:rsid w:val="10BC7047"/>
    <w:rsid w:val="1127310F"/>
    <w:rsid w:val="11591A84"/>
    <w:rsid w:val="11737F38"/>
    <w:rsid w:val="118602D8"/>
    <w:rsid w:val="11C40FF5"/>
    <w:rsid w:val="11D67EAD"/>
    <w:rsid w:val="120736A2"/>
    <w:rsid w:val="12280020"/>
    <w:rsid w:val="125403B4"/>
    <w:rsid w:val="12681A1D"/>
    <w:rsid w:val="12D316FA"/>
    <w:rsid w:val="13397F55"/>
    <w:rsid w:val="13710699"/>
    <w:rsid w:val="13930D25"/>
    <w:rsid w:val="13D56559"/>
    <w:rsid w:val="13F836FE"/>
    <w:rsid w:val="143F7EB7"/>
    <w:rsid w:val="14ED7360"/>
    <w:rsid w:val="151C3354"/>
    <w:rsid w:val="153270DA"/>
    <w:rsid w:val="154F1C7C"/>
    <w:rsid w:val="1593408F"/>
    <w:rsid w:val="15BB45B7"/>
    <w:rsid w:val="15DF39DA"/>
    <w:rsid w:val="15E35BB9"/>
    <w:rsid w:val="16076040"/>
    <w:rsid w:val="162B440D"/>
    <w:rsid w:val="16A91EF8"/>
    <w:rsid w:val="16E25799"/>
    <w:rsid w:val="178968FD"/>
    <w:rsid w:val="178A1D29"/>
    <w:rsid w:val="17E81DE8"/>
    <w:rsid w:val="17F6579C"/>
    <w:rsid w:val="17FE3284"/>
    <w:rsid w:val="1835084F"/>
    <w:rsid w:val="184E2C7A"/>
    <w:rsid w:val="187D6A43"/>
    <w:rsid w:val="18CE1447"/>
    <w:rsid w:val="18EE250C"/>
    <w:rsid w:val="193416C3"/>
    <w:rsid w:val="19B12A79"/>
    <w:rsid w:val="19BA5604"/>
    <w:rsid w:val="19C41879"/>
    <w:rsid w:val="19EA21FB"/>
    <w:rsid w:val="1A0401DB"/>
    <w:rsid w:val="1A2D4B63"/>
    <w:rsid w:val="1A706191"/>
    <w:rsid w:val="1A825725"/>
    <w:rsid w:val="1ADF5424"/>
    <w:rsid w:val="1AFB72B5"/>
    <w:rsid w:val="1B1C538E"/>
    <w:rsid w:val="1B3003D6"/>
    <w:rsid w:val="1B515E62"/>
    <w:rsid w:val="1B937C13"/>
    <w:rsid w:val="1B945CF7"/>
    <w:rsid w:val="1C3A4968"/>
    <w:rsid w:val="1C6B5C7B"/>
    <w:rsid w:val="1C7630DB"/>
    <w:rsid w:val="1CA57FE8"/>
    <w:rsid w:val="1CCB3F52"/>
    <w:rsid w:val="1CD660E8"/>
    <w:rsid w:val="1CDE5D4D"/>
    <w:rsid w:val="1CE15D9A"/>
    <w:rsid w:val="1D1755F9"/>
    <w:rsid w:val="1D4741C2"/>
    <w:rsid w:val="1D6168D3"/>
    <w:rsid w:val="1D654CD0"/>
    <w:rsid w:val="1D6827ED"/>
    <w:rsid w:val="1D7771CA"/>
    <w:rsid w:val="1D9D096D"/>
    <w:rsid w:val="1DC73D44"/>
    <w:rsid w:val="1DEB6D29"/>
    <w:rsid w:val="1E1A0446"/>
    <w:rsid w:val="1E450758"/>
    <w:rsid w:val="1E494D51"/>
    <w:rsid w:val="1E7C11D6"/>
    <w:rsid w:val="1E8961F1"/>
    <w:rsid w:val="1E972909"/>
    <w:rsid w:val="1ECC2D14"/>
    <w:rsid w:val="1EE84AFB"/>
    <w:rsid w:val="1EEA0C91"/>
    <w:rsid w:val="1F4466AD"/>
    <w:rsid w:val="1F6C4129"/>
    <w:rsid w:val="1F7253A6"/>
    <w:rsid w:val="1F8D7F1D"/>
    <w:rsid w:val="1F9D0C1B"/>
    <w:rsid w:val="1FC12D20"/>
    <w:rsid w:val="200D281D"/>
    <w:rsid w:val="200E590D"/>
    <w:rsid w:val="204323D1"/>
    <w:rsid w:val="21455845"/>
    <w:rsid w:val="214653A6"/>
    <w:rsid w:val="21574C28"/>
    <w:rsid w:val="21577FE5"/>
    <w:rsid w:val="2167282F"/>
    <w:rsid w:val="217936A3"/>
    <w:rsid w:val="21843C8D"/>
    <w:rsid w:val="219078BA"/>
    <w:rsid w:val="21AB47DB"/>
    <w:rsid w:val="21F85CCA"/>
    <w:rsid w:val="22225009"/>
    <w:rsid w:val="22252D7A"/>
    <w:rsid w:val="22395DB5"/>
    <w:rsid w:val="225D7857"/>
    <w:rsid w:val="228C0498"/>
    <w:rsid w:val="22971928"/>
    <w:rsid w:val="22AF4706"/>
    <w:rsid w:val="22D15190"/>
    <w:rsid w:val="22D26F76"/>
    <w:rsid w:val="23267CD6"/>
    <w:rsid w:val="233925CA"/>
    <w:rsid w:val="23513BDD"/>
    <w:rsid w:val="239B4E62"/>
    <w:rsid w:val="239D332E"/>
    <w:rsid w:val="23BA1EAE"/>
    <w:rsid w:val="23EC3B47"/>
    <w:rsid w:val="23F968FB"/>
    <w:rsid w:val="240E24B8"/>
    <w:rsid w:val="243C156E"/>
    <w:rsid w:val="244A6A43"/>
    <w:rsid w:val="249F0A57"/>
    <w:rsid w:val="24A91596"/>
    <w:rsid w:val="24B55744"/>
    <w:rsid w:val="24C34781"/>
    <w:rsid w:val="24D43752"/>
    <w:rsid w:val="24D4799E"/>
    <w:rsid w:val="250F4B7C"/>
    <w:rsid w:val="253C263D"/>
    <w:rsid w:val="256E7D62"/>
    <w:rsid w:val="257A384C"/>
    <w:rsid w:val="25904D38"/>
    <w:rsid w:val="259801D8"/>
    <w:rsid w:val="25DC695C"/>
    <w:rsid w:val="26053F48"/>
    <w:rsid w:val="264504E6"/>
    <w:rsid w:val="267718FB"/>
    <w:rsid w:val="275D0A43"/>
    <w:rsid w:val="275D6838"/>
    <w:rsid w:val="276D4498"/>
    <w:rsid w:val="277E3973"/>
    <w:rsid w:val="27903554"/>
    <w:rsid w:val="27BE4213"/>
    <w:rsid w:val="27CA4556"/>
    <w:rsid w:val="27E965F8"/>
    <w:rsid w:val="27F37042"/>
    <w:rsid w:val="281534ED"/>
    <w:rsid w:val="28643DFD"/>
    <w:rsid w:val="2886342C"/>
    <w:rsid w:val="292E4F15"/>
    <w:rsid w:val="29676AD4"/>
    <w:rsid w:val="298029CC"/>
    <w:rsid w:val="29E72376"/>
    <w:rsid w:val="2A865E7C"/>
    <w:rsid w:val="2A946DD5"/>
    <w:rsid w:val="2AC0488D"/>
    <w:rsid w:val="2AD85593"/>
    <w:rsid w:val="2AD9350D"/>
    <w:rsid w:val="2B0D2030"/>
    <w:rsid w:val="2B642A3F"/>
    <w:rsid w:val="2B6C5638"/>
    <w:rsid w:val="2BA661C5"/>
    <w:rsid w:val="2BBB34B2"/>
    <w:rsid w:val="2C4E2774"/>
    <w:rsid w:val="2CC97F50"/>
    <w:rsid w:val="2CF23BA8"/>
    <w:rsid w:val="2D3558A9"/>
    <w:rsid w:val="2D383BDB"/>
    <w:rsid w:val="2D6405FD"/>
    <w:rsid w:val="2DB55BA4"/>
    <w:rsid w:val="2DBE68B4"/>
    <w:rsid w:val="2DC169DB"/>
    <w:rsid w:val="2DC5220F"/>
    <w:rsid w:val="2DDE4D12"/>
    <w:rsid w:val="2E8F28BF"/>
    <w:rsid w:val="2EA21745"/>
    <w:rsid w:val="2EC27BA3"/>
    <w:rsid w:val="2F302053"/>
    <w:rsid w:val="2F303AFB"/>
    <w:rsid w:val="2F6F6D61"/>
    <w:rsid w:val="2F7E2541"/>
    <w:rsid w:val="2F902040"/>
    <w:rsid w:val="2FA8294A"/>
    <w:rsid w:val="2FB359A3"/>
    <w:rsid w:val="2FB365BF"/>
    <w:rsid w:val="2FC61A26"/>
    <w:rsid w:val="2FD205D1"/>
    <w:rsid w:val="2FD77E08"/>
    <w:rsid w:val="2FE605C2"/>
    <w:rsid w:val="302747A2"/>
    <w:rsid w:val="30334C1F"/>
    <w:rsid w:val="30450A8C"/>
    <w:rsid w:val="30975037"/>
    <w:rsid w:val="30CB4F5F"/>
    <w:rsid w:val="30E85A65"/>
    <w:rsid w:val="312B1A2F"/>
    <w:rsid w:val="31460374"/>
    <w:rsid w:val="3194017B"/>
    <w:rsid w:val="31BD31B4"/>
    <w:rsid w:val="31DA10F0"/>
    <w:rsid w:val="324C1E6D"/>
    <w:rsid w:val="326071D4"/>
    <w:rsid w:val="32C54E1B"/>
    <w:rsid w:val="32EF304A"/>
    <w:rsid w:val="32F3657F"/>
    <w:rsid w:val="336E20A7"/>
    <w:rsid w:val="339B7343"/>
    <w:rsid w:val="33EE5FA2"/>
    <w:rsid w:val="33FE3D63"/>
    <w:rsid w:val="34152E4C"/>
    <w:rsid w:val="342F4AF3"/>
    <w:rsid w:val="34512727"/>
    <w:rsid w:val="34867C4F"/>
    <w:rsid w:val="348D24DE"/>
    <w:rsid w:val="34A22D8F"/>
    <w:rsid w:val="34F74BE5"/>
    <w:rsid w:val="34F85D8C"/>
    <w:rsid w:val="34FE39F8"/>
    <w:rsid w:val="35450142"/>
    <w:rsid w:val="356A5ECB"/>
    <w:rsid w:val="35EF3A10"/>
    <w:rsid w:val="35F000D1"/>
    <w:rsid w:val="363A16E9"/>
    <w:rsid w:val="36781ED5"/>
    <w:rsid w:val="36CC058F"/>
    <w:rsid w:val="37041882"/>
    <w:rsid w:val="37104288"/>
    <w:rsid w:val="376A283F"/>
    <w:rsid w:val="37F11EAF"/>
    <w:rsid w:val="38275EAB"/>
    <w:rsid w:val="3857203D"/>
    <w:rsid w:val="38592755"/>
    <w:rsid w:val="387D254B"/>
    <w:rsid w:val="38893CF0"/>
    <w:rsid w:val="38D54D6E"/>
    <w:rsid w:val="392C1F2A"/>
    <w:rsid w:val="393F07D4"/>
    <w:rsid w:val="39BA6945"/>
    <w:rsid w:val="39D01B2D"/>
    <w:rsid w:val="39F80DF2"/>
    <w:rsid w:val="3A1C518F"/>
    <w:rsid w:val="3A464064"/>
    <w:rsid w:val="3AC70A74"/>
    <w:rsid w:val="3AD80E5A"/>
    <w:rsid w:val="3AFE4F1B"/>
    <w:rsid w:val="3B091B19"/>
    <w:rsid w:val="3B0A24EB"/>
    <w:rsid w:val="3B2E0F49"/>
    <w:rsid w:val="3B9174F7"/>
    <w:rsid w:val="3BB06E70"/>
    <w:rsid w:val="3BF10C32"/>
    <w:rsid w:val="3C031C25"/>
    <w:rsid w:val="3C96240E"/>
    <w:rsid w:val="3CA833EB"/>
    <w:rsid w:val="3CD03BEF"/>
    <w:rsid w:val="3CE17715"/>
    <w:rsid w:val="3CF24B3B"/>
    <w:rsid w:val="3D33190B"/>
    <w:rsid w:val="3D61193C"/>
    <w:rsid w:val="3E0363A1"/>
    <w:rsid w:val="3E102ED2"/>
    <w:rsid w:val="3E416D93"/>
    <w:rsid w:val="3E5E24E1"/>
    <w:rsid w:val="3EAB0630"/>
    <w:rsid w:val="3ECA43C1"/>
    <w:rsid w:val="3EDA422C"/>
    <w:rsid w:val="3F034661"/>
    <w:rsid w:val="3F0C1A4B"/>
    <w:rsid w:val="3F532C24"/>
    <w:rsid w:val="3F602856"/>
    <w:rsid w:val="3FDD1FB0"/>
    <w:rsid w:val="3FE37AE3"/>
    <w:rsid w:val="400659CA"/>
    <w:rsid w:val="40252486"/>
    <w:rsid w:val="4060697C"/>
    <w:rsid w:val="4076147A"/>
    <w:rsid w:val="40AF5EA3"/>
    <w:rsid w:val="40BF0537"/>
    <w:rsid w:val="40EE5E59"/>
    <w:rsid w:val="40F364F6"/>
    <w:rsid w:val="412E370B"/>
    <w:rsid w:val="41354B3D"/>
    <w:rsid w:val="413C37E5"/>
    <w:rsid w:val="41615CAE"/>
    <w:rsid w:val="41957E61"/>
    <w:rsid w:val="41A43864"/>
    <w:rsid w:val="41BB4431"/>
    <w:rsid w:val="41C90880"/>
    <w:rsid w:val="41D3579A"/>
    <w:rsid w:val="42457628"/>
    <w:rsid w:val="42844287"/>
    <w:rsid w:val="42B81A6C"/>
    <w:rsid w:val="42DA32B5"/>
    <w:rsid w:val="43043580"/>
    <w:rsid w:val="43706EEB"/>
    <w:rsid w:val="4398253E"/>
    <w:rsid w:val="43A3357C"/>
    <w:rsid w:val="43A84A71"/>
    <w:rsid w:val="43AD3603"/>
    <w:rsid w:val="442D4441"/>
    <w:rsid w:val="443017F0"/>
    <w:rsid w:val="44614BE4"/>
    <w:rsid w:val="44923BDA"/>
    <w:rsid w:val="44A1156C"/>
    <w:rsid w:val="44E3723B"/>
    <w:rsid w:val="44EB5004"/>
    <w:rsid w:val="451C49F6"/>
    <w:rsid w:val="453657B6"/>
    <w:rsid w:val="458C0ED4"/>
    <w:rsid w:val="459C1FC2"/>
    <w:rsid w:val="45AB1CA2"/>
    <w:rsid w:val="45CA21FB"/>
    <w:rsid w:val="46594719"/>
    <w:rsid w:val="466970E6"/>
    <w:rsid w:val="469A0BEB"/>
    <w:rsid w:val="46B179C3"/>
    <w:rsid w:val="46E27C7F"/>
    <w:rsid w:val="47194D9A"/>
    <w:rsid w:val="47304947"/>
    <w:rsid w:val="474440AD"/>
    <w:rsid w:val="47CD7D84"/>
    <w:rsid w:val="47DA2236"/>
    <w:rsid w:val="481935D8"/>
    <w:rsid w:val="48383ECF"/>
    <w:rsid w:val="483B502E"/>
    <w:rsid w:val="484754AA"/>
    <w:rsid w:val="48B97514"/>
    <w:rsid w:val="48D50F68"/>
    <w:rsid w:val="494C1B9E"/>
    <w:rsid w:val="4987484E"/>
    <w:rsid w:val="49E00363"/>
    <w:rsid w:val="4A094B64"/>
    <w:rsid w:val="4A8968E9"/>
    <w:rsid w:val="4A90072E"/>
    <w:rsid w:val="4AA37B17"/>
    <w:rsid w:val="4AA62E6A"/>
    <w:rsid w:val="4B13587E"/>
    <w:rsid w:val="4B1E59C6"/>
    <w:rsid w:val="4B837427"/>
    <w:rsid w:val="4B874EF4"/>
    <w:rsid w:val="4BA2067E"/>
    <w:rsid w:val="4BBD29A7"/>
    <w:rsid w:val="4C5D5627"/>
    <w:rsid w:val="4C6E57B5"/>
    <w:rsid w:val="4CF473DE"/>
    <w:rsid w:val="4D277DA8"/>
    <w:rsid w:val="4D771DE7"/>
    <w:rsid w:val="4D7E02E1"/>
    <w:rsid w:val="4DA33AA0"/>
    <w:rsid w:val="4DD733CB"/>
    <w:rsid w:val="4E9A1894"/>
    <w:rsid w:val="4EDE7C72"/>
    <w:rsid w:val="4F2953A8"/>
    <w:rsid w:val="4F884BEC"/>
    <w:rsid w:val="4F9C3606"/>
    <w:rsid w:val="4FFB2AEE"/>
    <w:rsid w:val="5002162A"/>
    <w:rsid w:val="50050644"/>
    <w:rsid w:val="50156879"/>
    <w:rsid w:val="504A33DE"/>
    <w:rsid w:val="50A736DE"/>
    <w:rsid w:val="50E26DFB"/>
    <w:rsid w:val="512D5A2F"/>
    <w:rsid w:val="51612F50"/>
    <w:rsid w:val="51955CF4"/>
    <w:rsid w:val="51A03AB6"/>
    <w:rsid w:val="51DE6AEF"/>
    <w:rsid w:val="523106EE"/>
    <w:rsid w:val="523429C3"/>
    <w:rsid w:val="52372643"/>
    <w:rsid w:val="52854FEC"/>
    <w:rsid w:val="52EA1019"/>
    <w:rsid w:val="53062DF0"/>
    <w:rsid w:val="53116B8C"/>
    <w:rsid w:val="531C2D2E"/>
    <w:rsid w:val="5337380D"/>
    <w:rsid w:val="5362104C"/>
    <w:rsid w:val="53635396"/>
    <w:rsid w:val="53714728"/>
    <w:rsid w:val="53BA1644"/>
    <w:rsid w:val="53E83EEA"/>
    <w:rsid w:val="53FA4CF2"/>
    <w:rsid w:val="54113D76"/>
    <w:rsid w:val="549E46B0"/>
    <w:rsid w:val="54C060EF"/>
    <w:rsid w:val="54F001E6"/>
    <w:rsid w:val="550F4E15"/>
    <w:rsid w:val="551A3F48"/>
    <w:rsid w:val="55584F4F"/>
    <w:rsid w:val="555C4460"/>
    <w:rsid w:val="55802B56"/>
    <w:rsid w:val="55BA4A42"/>
    <w:rsid w:val="5675533F"/>
    <w:rsid w:val="567B7BFD"/>
    <w:rsid w:val="56B50A0E"/>
    <w:rsid w:val="56BC36AA"/>
    <w:rsid w:val="56C132BC"/>
    <w:rsid w:val="576542BF"/>
    <w:rsid w:val="582A4EEC"/>
    <w:rsid w:val="584515EA"/>
    <w:rsid w:val="58526062"/>
    <w:rsid w:val="58976178"/>
    <w:rsid w:val="58AC009C"/>
    <w:rsid w:val="58CE70FD"/>
    <w:rsid w:val="58F46A35"/>
    <w:rsid w:val="58FB2CDD"/>
    <w:rsid w:val="592D085E"/>
    <w:rsid w:val="594F3C5E"/>
    <w:rsid w:val="597972F1"/>
    <w:rsid w:val="5A0C2668"/>
    <w:rsid w:val="5A2D19A2"/>
    <w:rsid w:val="5A3E56A9"/>
    <w:rsid w:val="5A660FA5"/>
    <w:rsid w:val="5A747F1F"/>
    <w:rsid w:val="5A9F78B2"/>
    <w:rsid w:val="5AB867B1"/>
    <w:rsid w:val="5B071F00"/>
    <w:rsid w:val="5B0B62F3"/>
    <w:rsid w:val="5B140EFE"/>
    <w:rsid w:val="5B7C6CAB"/>
    <w:rsid w:val="5B827282"/>
    <w:rsid w:val="5B95089E"/>
    <w:rsid w:val="5BB270EB"/>
    <w:rsid w:val="5BC926F4"/>
    <w:rsid w:val="5CAB4ECB"/>
    <w:rsid w:val="5CB55C76"/>
    <w:rsid w:val="5CBE5922"/>
    <w:rsid w:val="5CDB6724"/>
    <w:rsid w:val="5D0D4D9B"/>
    <w:rsid w:val="5D4C10ED"/>
    <w:rsid w:val="5D4D1AA2"/>
    <w:rsid w:val="5D554EA7"/>
    <w:rsid w:val="5DAA554E"/>
    <w:rsid w:val="5DDB24B6"/>
    <w:rsid w:val="5E1B4A56"/>
    <w:rsid w:val="5E647122"/>
    <w:rsid w:val="5E743A04"/>
    <w:rsid w:val="5E7F7352"/>
    <w:rsid w:val="5E84452D"/>
    <w:rsid w:val="5EB01245"/>
    <w:rsid w:val="5EB27A54"/>
    <w:rsid w:val="5ED11873"/>
    <w:rsid w:val="5ED40F03"/>
    <w:rsid w:val="5F520271"/>
    <w:rsid w:val="5F530687"/>
    <w:rsid w:val="5F66023F"/>
    <w:rsid w:val="5F6B7171"/>
    <w:rsid w:val="5F876D57"/>
    <w:rsid w:val="5F952DC7"/>
    <w:rsid w:val="5FB0128C"/>
    <w:rsid w:val="600F6FB4"/>
    <w:rsid w:val="6011286C"/>
    <w:rsid w:val="60321D5D"/>
    <w:rsid w:val="60441BE6"/>
    <w:rsid w:val="60455DBA"/>
    <w:rsid w:val="605E03B0"/>
    <w:rsid w:val="609A6C46"/>
    <w:rsid w:val="60A704C8"/>
    <w:rsid w:val="60E40384"/>
    <w:rsid w:val="611B6FAD"/>
    <w:rsid w:val="61353399"/>
    <w:rsid w:val="6189456E"/>
    <w:rsid w:val="619A2136"/>
    <w:rsid w:val="61A2192A"/>
    <w:rsid w:val="61A45B89"/>
    <w:rsid w:val="61E5122B"/>
    <w:rsid w:val="62142D66"/>
    <w:rsid w:val="625A1FE6"/>
    <w:rsid w:val="62B65D60"/>
    <w:rsid w:val="62DD222E"/>
    <w:rsid w:val="630C6714"/>
    <w:rsid w:val="630F5DEF"/>
    <w:rsid w:val="63177BD6"/>
    <w:rsid w:val="631863C4"/>
    <w:rsid w:val="633E3AC3"/>
    <w:rsid w:val="63475E68"/>
    <w:rsid w:val="639C7723"/>
    <w:rsid w:val="63E40CB8"/>
    <w:rsid w:val="63F279E7"/>
    <w:rsid w:val="642451AA"/>
    <w:rsid w:val="64DF2570"/>
    <w:rsid w:val="65461BC1"/>
    <w:rsid w:val="65CB0D74"/>
    <w:rsid w:val="65E11511"/>
    <w:rsid w:val="65E3036D"/>
    <w:rsid w:val="65FE5270"/>
    <w:rsid w:val="662B5B32"/>
    <w:rsid w:val="664D3D07"/>
    <w:rsid w:val="66566FA8"/>
    <w:rsid w:val="66DC4908"/>
    <w:rsid w:val="6704739B"/>
    <w:rsid w:val="672C56FC"/>
    <w:rsid w:val="674B0324"/>
    <w:rsid w:val="67554D64"/>
    <w:rsid w:val="67CC4FF4"/>
    <w:rsid w:val="67DC1F0B"/>
    <w:rsid w:val="68233F1E"/>
    <w:rsid w:val="684A30F1"/>
    <w:rsid w:val="68880F3A"/>
    <w:rsid w:val="68B410CA"/>
    <w:rsid w:val="69175557"/>
    <w:rsid w:val="69291C07"/>
    <w:rsid w:val="69311E03"/>
    <w:rsid w:val="694F12D1"/>
    <w:rsid w:val="695A7C60"/>
    <w:rsid w:val="69607396"/>
    <w:rsid w:val="69FA3BC2"/>
    <w:rsid w:val="6A4609EB"/>
    <w:rsid w:val="6A665A66"/>
    <w:rsid w:val="6AAE25F0"/>
    <w:rsid w:val="6AE0624E"/>
    <w:rsid w:val="6AFF3FFE"/>
    <w:rsid w:val="6B28333B"/>
    <w:rsid w:val="6B3D425E"/>
    <w:rsid w:val="6B4D0D73"/>
    <w:rsid w:val="6B636787"/>
    <w:rsid w:val="6B6B1FF0"/>
    <w:rsid w:val="6BC77307"/>
    <w:rsid w:val="6BE5529B"/>
    <w:rsid w:val="6BEF2F77"/>
    <w:rsid w:val="6C606670"/>
    <w:rsid w:val="6CD0452E"/>
    <w:rsid w:val="6D0E7990"/>
    <w:rsid w:val="6D39565A"/>
    <w:rsid w:val="6D4F499A"/>
    <w:rsid w:val="6D721023"/>
    <w:rsid w:val="6D7B4187"/>
    <w:rsid w:val="6DA278EF"/>
    <w:rsid w:val="6DB91B96"/>
    <w:rsid w:val="6DC47162"/>
    <w:rsid w:val="6DE53FAC"/>
    <w:rsid w:val="6DE94564"/>
    <w:rsid w:val="6E251D74"/>
    <w:rsid w:val="6E3D4575"/>
    <w:rsid w:val="6E404E18"/>
    <w:rsid w:val="6E57633D"/>
    <w:rsid w:val="6E594537"/>
    <w:rsid w:val="6E637BC4"/>
    <w:rsid w:val="6E662122"/>
    <w:rsid w:val="6E7E6B37"/>
    <w:rsid w:val="6E851731"/>
    <w:rsid w:val="6EA462E8"/>
    <w:rsid w:val="6ECA5452"/>
    <w:rsid w:val="6F1D384C"/>
    <w:rsid w:val="6F654986"/>
    <w:rsid w:val="6F75733D"/>
    <w:rsid w:val="702F6F06"/>
    <w:rsid w:val="7040659E"/>
    <w:rsid w:val="70545254"/>
    <w:rsid w:val="70925512"/>
    <w:rsid w:val="71504ED8"/>
    <w:rsid w:val="716A4FD9"/>
    <w:rsid w:val="716D5CC7"/>
    <w:rsid w:val="71716615"/>
    <w:rsid w:val="718E7641"/>
    <w:rsid w:val="71CE28DB"/>
    <w:rsid w:val="72083B25"/>
    <w:rsid w:val="721E3C4A"/>
    <w:rsid w:val="721F6830"/>
    <w:rsid w:val="72236D2C"/>
    <w:rsid w:val="72980FED"/>
    <w:rsid w:val="729D6033"/>
    <w:rsid w:val="72D07765"/>
    <w:rsid w:val="731A1576"/>
    <w:rsid w:val="734D3E7D"/>
    <w:rsid w:val="735256B0"/>
    <w:rsid w:val="73881C2A"/>
    <w:rsid w:val="73A8044F"/>
    <w:rsid w:val="73EA00D2"/>
    <w:rsid w:val="74090A28"/>
    <w:rsid w:val="74290EBC"/>
    <w:rsid w:val="746B0E59"/>
    <w:rsid w:val="74C4121A"/>
    <w:rsid w:val="74C9372C"/>
    <w:rsid w:val="74CB6391"/>
    <w:rsid w:val="74FD00B1"/>
    <w:rsid w:val="75025697"/>
    <w:rsid w:val="75435570"/>
    <w:rsid w:val="75717123"/>
    <w:rsid w:val="75890512"/>
    <w:rsid w:val="758F65A2"/>
    <w:rsid w:val="7599322F"/>
    <w:rsid w:val="75D85A65"/>
    <w:rsid w:val="760563F8"/>
    <w:rsid w:val="76081496"/>
    <w:rsid w:val="76110AFA"/>
    <w:rsid w:val="762862AE"/>
    <w:rsid w:val="7638144E"/>
    <w:rsid w:val="7687405A"/>
    <w:rsid w:val="76A36A1D"/>
    <w:rsid w:val="771406B8"/>
    <w:rsid w:val="77442F93"/>
    <w:rsid w:val="775A1D7B"/>
    <w:rsid w:val="775E1E87"/>
    <w:rsid w:val="77D35E7C"/>
    <w:rsid w:val="77E017B2"/>
    <w:rsid w:val="780935FA"/>
    <w:rsid w:val="78106856"/>
    <w:rsid w:val="782A3373"/>
    <w:rsid w:val="783C268B"/>
    <w:rsid w:val="788271C4"/>
    <w:rsid w:val="78D32F66"/>
    <w:rsid w:val="79744FF2"/>
    <w:rsid w:val="797479EB"/>
    <w:rsid w:val="7A71673F"/>
    <w:rsid w:val="7B67351C"/>
    <w:rsid w:val="7C002C1C"/>
    <w:rsid w:val="7C184FB7"/>
    <w:rsid w:val="7C3A128F"/>
    <w:rsid w:val="7C42016B"/>
    <w:rsid w:val="7C7839E2"/>
    <w:rsid w:val="7C7B2C32"/>
    <w:rsid w:val="7CC355F6"/>
    <w:rsid w:val="7CE30CC4"/>
    <w:rsid w:val="7D084815"/>
    <w:rsid w:val="7D4834A4"/>
    <w:rsid w:val="7D635484"/>
    <w:rsid w:val="7E2D23DA"/>
    <w:rsid w:val="7E337085"/>
    <w:rsid w:val="7E5062F4"/>
    <w:rsid w:val="7E6A3557"/>
    <w:rsid w:val="7E8A0C75"/>
    <w:rsid w:val="7E904977"/>
    <w:rsid w:val="7EB37E59"/>
    <w:rsid w:val="7F2A56C1"/>
    <w:rsid w:val="7F3D3321"/>
    <w:rsid w:val="7F4212A8"/>
    <w:rsid w:val="7F7D5A55"/>
    <w:rsid w:val="7F8B7114"/>
    <w:rsid w:val="7F8E1930"/>
    <w:rsid w:val="7FB45F91"/>
    <w:rsid w:val="7FBF70EB"/>
    <w:rsid w:val="7FD101BC"/>
    <w:rsid w:val="7FD24ED3"/>
    <w:rsid w:val="7FDC6EB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uiPriority="0"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0" w:semiHidden="0" w:name="Default Paragraph Font"/>
    <w:lsdException w:uiPriority="99" w:name="Body Text"/>
    <w:lsdException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uiPriority w:val="0"/>
    <w:pPr>
      <w:widowControl w:val="0"/>
      <w:jc w:val="both"/>
    </w:pPr>
    <w:rPr>
      <w:kern w:val="2"/>
      <w:sz w:val="21"/>
      <w:szCs w:val="24"/>
      <w:lang w:val="en-US" w:eastAsia="zh-CN" w:bidi="ar-SA"/>
    </w:rPr>
  </w:style>
  <w:style w:type="paragraph" w:styleId="2">
    <w:name w:val="heading 2"/>
    <w:basedOn w:val="1"/>
    <w:next w:val="1"/>
    <w:unhideWhenUsed/>
    <w:qFormat/>
    <w:uiPriority w:val="9"/>
    <w:pPr>
      <w:keepNext/>
      <w:keepLines/>
      <w:spacing w:before="260" w:after="260" w:line="416" w:lineRule="auto"/>
      <w:outlineLvl w:val="1"/>
    </w:pPr>
    <w:rPr>
      <w:rFonts w:ascii="Cambria" w:hAnsi="Cambria" w:eastAsia="宋体"/>
      <w:b/>
      <w:bCs/>
      <w:sz w:val="32"/>
      <w:szCs w:val="32"/>
    </w:rPr>
  </w:style>
  <w:style w:type="character" w:default="1" w:styleId="10">
    <w:name w:val="Default Paragraph Font"/>
    <w:link w:val="11"/>
    <w:unhideWhenUsed/>
    <w:uiPriority w:val="0"/>
  </w:style>
  <w:style w:type="table" w:default="1" w:styleId="8">
    <w:name w:val="Normal Table"/>
    <w:unhideWhenUsed/>
    <w:uiPriority w:val="99"/>
    <w:tblPr>
      <w:tblStyle w:val="8"/>
      <w:tblCellMar>
        <w:top w:w="0" w:type="dxa"/>
        <w:left w:w="108" w:type="dxa"/>
        <w:bottom w:w="0" w:type="dxa"/>
        <w:right w:w="108" w:type="dxa"/>
      </w:tblCellMar>
    </w:tblPr>
  </w:style>
  <w:style w:type="paragraph" w:styleId="3">
    <w:name w:val="caption"/>
    <w:basedOn w:val="1"/>
    <w:next w:val="1"/>
    <w:unhideWhenUsed/>
    <w:qFormat/>
    <w:uiPriority w:val="35"/>
    <w:rPr>
      <w:rFonts w:ascii="Arial" w:hAnsi="Arial" w:eastAsia="黑体" w:cs="Arial"/>
      <w:sz w:val="20"/>
      <w:szCs w:val="20"/>
    </w:rPr>
  </w:style>
  <w:style w:type="paragraph" w:styleId="4">
    <w:name w:val="Body Text Indent"/>
    <w:basedOn w:val="1"/>
    <w:unhideWhenUsed/>
    <w:uiPriority w:val="99"/>
    <w:pPr>
      <w:spacing w:line="360" w:lineRule="auto"/>
      <w:ind w:firstLine="425"/>
    </w:pPr>
    <w:rPr>
      <w:rFonts w:ascii="仿宋_GB2312" w:hAnsi="宋体"/>
      <w:sz w:val="28"/>
      <w:szCs w:val="24"/>
    </w:rPr>
  </w:style>
  <w:style w:type="paragraph" w:styleId="5">
    <w:name w:val="footer"/>
    <w:basedOn w:val="1"/>
    <w:unhideWhenUsed/>
    <w:uiPriority w:val="0"/>
    <w:pPr>
      <w:tabs>
        <w:tab w:val="center" w:pos="4153"/>
        <w:tab w:val="right" w:pos="8306"/>
      </w:tabs>
      <w:snapToGrid w:val="0"/>
      <w:jc w:val="left"/>
    </w:pPr>
    <w:rPr>
      <w:sz w:val="18"/>
      <w:szCs w:val="18"/>
    </w:rPr>
  </w:style>
  <w:style w:type="paragraph" w:styleId="6">
    <w:name w:val="header"/>
    <w:basedOn w:val="1"/>
    <w:unhideWhenUsed/>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uiPriority w:val="99"/>
    <w:pPr>
      <w:widowControl/>
      <w:spacing w:before="100" w:beforeLines="0" w:beforeAutospacing="1" w:after="100" w:afterLines="0" w:afterAutospacing="1"/>
      <w:jc w:val="left"/>
    </w:pPr>
    <w:rPr>
      <w:rFonts w:hint="eastAsia" w:ascii="宋体" w:hAnsi="宋体"/>
      <w:kern w:val="0"/>
      <w:sz w:val="24"/>
    </w:rPr>
  </w:style>
  <w:style w:type="table" w:styleId="9">
    <w:name w:val="Table Grid"/>
    <w:basedOn w:val="8"/>
    <w:unhideWhenUsed/>
    <w:uiPriority w:val="99"/>
    <w:pPr>
      <w:widowControl w:val="0"/>
      <w:jc w:val="both"/>
    </w:pPr>
    <w:tblPr>
      <w:tblStyle w:val="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1">
    <w:name w:val=" Char"/>
    <w:basedOn w:val="1"/>
    <w:link w:val="10"/>
    <w:uiPriority w:val="0"/>
    <w:pPr>
      <w:widowControl/>
      <w:spacing w:after="160" w:line="240" w:lineRule="exact"/>
      <w:jc w:val="left"/>
    </w:pPr>
  </w:style>
  <w:style w:type="character" w:styleId="12">
    <w:name w:val="Strong"/>
    <w:basedOn w:val="10"/>
    <w:qFormat/>
    <w:uiPriority w:val="22"/>
    <w:rPr>
      <w:b/>
    </w:rPr>
  </w:style>
  <w:style w:type="character" w:styleId="13">
    <w:name w:val="page number"/>
    <w:basedOn w:val="10"/>
    <w:unhideWhenUsed/>
    <w:uiPriority w:val="99"/>
  </w:style>
  <w:style w:type="character" w:styleId="14">
    <w:name w:val="FollowedHyperlink"/>
    <w:basedOn w:val="10"/>
    <w:unhideWhenUsed/>
    <w:uiPriority w:val="99"/>
    <w:rPr>
      <w:rFonts w:ascii="Arial" w:hAnsi="Arial" w:eastAsia="微软雅黑" w:cs="Arial"/>
      <w:color w:val="333333"/>
      <w:sz w:val="18"/>
      <w:szCs w:val="18"/>
      <w:u w:val="none"/>
    </w:rPr>
  </w:style>
  <w:style w:type="character" w:styleId="15">
    <w:name w:val="Emphasis"/>
    <w:basedOn w:val="10"/>
    <w:qFormat/>
    <w:uiPriority w:val="20"/>
  </w:style>
  <w:style w:type="character" w:styleId="16">
    <w:name w:val="Hyperlink"/>
    <w:basedOn w:val="10"/>
    <w:unhideWhenUsed/>
    <w:uiPriority w:val="99"/>
    <w:rPr>
      <w:rFonts w:ascii="Arial" w:hAnsi="Arial" w:eastAsia="微软雅黑" w:cs="Arial"/>
      <w:color w:val="333333"/>
      <w:sz w:val="18"/>
      <w:szCs w:val="18"/>
      <w:u w:val="none"/>
    </w:rPr>
  </w:style>
  <w:style w:type="paragraph" w:customStyle="1" w:styleId="17">
    <w:name w:val=" Char Char Char Char Char Char Char Char Char"/>
    <w:basedOn w:val="1"/>
    <w:uiPriority w:val="0"/>
    <w:pPr>
      <w:widowControl/>
      <w:spacing w:after="160" w:line="240" w:lineRule="exact"/>
      <w:jc w:val="left"/>
    </w:pPr>
  </w:style>
  <w:style w:type="paragraph" w:customStyle="1" w:styleId="18">
    <w:name w:val="正文 New New New"/>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正文 New New New New New New New New"/>
    <w:uiPriority w:val="0"/>
    <w:pPr>
      <w:widowControl w:val="0"/>
      <w:jc w:val="both"/>
    </w:pPr>
    <w:rPr>
      <w:kern w:val="2"/>
      <w:sz w:val="28"/>
      <w:szCs w:val="24"/>
      <w:lang w:val="en-US" w:eastAsia="zh-CN" w:bidi="ar-SA"/>
    </w:rPr>
  </w:style>
  <w:style w:type="paragraph" w:customStyle="1" w:styleId="20">
    <w:name w:val="p0"/>
    <w:basedOn w:val="1"/>
    <w:uiPriority w:val="0"/>
    <w:pPr>
      <w:widowControl/>
    </w:pPr>
    <w:rPr>
      <w:rFonts w:eastAsia="仿宋_GB2312"/>
      <w:snapToGrid w:val="0"/>
      <w:kern w:val="0"/>
      <w:szCs w:val="21"/>
    </w:rPr>
  </w:style>
  <w:style w:type="paragraph" w:customStyle="1" w:styleId="21">
    <w:name w:val="纯文本1"/>
    <w:uiPriority w:val="0"/>
    <w:pPr>
      <w:suppressAutoHyphens/>
    </w:pPr>
    <w:rPr>
      <w:rFonts w:ascii="宋体" w:hAnsi="宋体"/>
      <w:kern w:val="1"/>
      <w:szCs w:val="20"/>
      <w:lang w:eastAsia="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ehs\Desktop\&#20020;&#26102;\&#38468;&#20214;3.&#30058;&#33540;&#28508;&#21494;&#34558;&#35843;&#26597;&#26041;&#27861;&#19982;&#32511;&#33394;&#38450;&#25511;&#25216;&#26415;&#26041;&#26696;.wp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附件3.番茄潜叶蛾调查方法与绿色防控技术方案.wpt</Template>
  <Pages>7</Pages>
  <Words>2914</Words>
  <Characters>3139</Characters>
  <Lines>1</Lines>
  <Paragraphs>1</Paragraphs>
  <TotalTime>16</TotalTime>
  <ScaleCrop>false</ScaleCrop>
  <LinksUpToDate>false</LinksUpToDate>
  <CharactersWithSpaces>3179</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2025-10-30T04:17:00Z</dcterms:created>
  <dc:creator>H.S</dc:creator>
  <cp:lastModifiedBy>H.S</cp:lastModifiedBy>
  <dcterms:modified xsi:type="dcterms:W3CDTF">2025-10-30T04:18:09Z</dcterms:modified>
  <dc:title>农作物病虫情报</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5829D037890D41438ED64D5637B53890_11</vt:lpwstr>
  </property>
  <property fmtid="{D5CDD505-2E9C-101B-9397-08002B2CF9AE}" pid="4" name="KSOTemplateDocerSaveRecord">
    <vt:lpwstr>eyJoZGlkIjoiZjU2NGEyMTE1MzU0NzhjZDBhNGQyMjZjNTQxNmI2ZDgiLCJ1c2VySWQiOiIzMzAzNTUwNTUifQ==</vt:lpwstr>
  </property>
</Properties>
</file>