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A0C0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32"/>
          <w:szCs w:val="32"/>
          <w:highlight w:val="none"/>
          <w:lang w:val="en-US" w:eastAsia="zh-CN"/>
        </w:rPr>
      </w:pPr>
      <w:bookmarkStart w:id="2" w:name="_GoBack"/>
      <w:bookmarkEnd w:id="2"/>
      <w:r>
        <w:rPr>
          <w:rFonts w:hint="eastAsia" w:ascii="方正小标宋简体" w:hAnsi="方正小标宋简体" w:eastAsia="方正小标宋简体" w:cs="方正小标宋简体"/>
          <w:color w:val="auto"/>
          <w:sz w:val="44"/>
          <w:szCs w:val="44"/>
          <w:highlight w:val="none"/>
          <w:lang w:val="en-US" w:eastAsia="zh-CN"/>
        </w:rPr>
        <w:t>湛江市霞山区湛江港渔业港区管理章程</w:t>
      </w:r>
    </w:p>
    <w:p w14:paraId="4F09AD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32"/>
          <w:szCs w:val="32"/>
          <w:highlight w:val="none"/>
        </w:rPr>
      </w:pPr>
    </w:p>
    <w:p w14:paraId="49248A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初  稿</w:t>
      </w:r>
      <w:r>
        <w:rPr>
          <w:rFonts w:hint="eastAsia" w:ascii="仿宋" w:hAnsi="仿宋" w:eastAsia="仿宋" w:cs="仿宋"/>
          <w:color w:val="auto"/>
          <w:sz w:val="32"/>
          <w:szCs w:val="32"/>
          <w:highlight w:val="none"/>
        </w:rPr>
        <w:t>）</w:t>
      </w:r>
    </w:p>
    <w:p w14:paraId="6C7256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32"/>
          <w:szCs w:val="32"/>
          <w:highlight w:val="none"/>
        </w:rPr>
      </w:pPr>
    </w:p>
    <w:p w14:paraId="5D7C5A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32"/>
          <w:szCs w:val="32"/>
          <w:highlight w:val="none"/>
        </w:rPr>
      </w:pPr>
      <w:r>
        <w:rPr>
          <w:rFonts w:hint="eastAsia" w:ascii="黑体" w:hAnsi="黑体" w:eastAsia="黑体" w:cs="黑体"/>
          <w:color w:val="auto"/>
          <w:sz w:val="32"/>
          <w:szCs w:val="32"/>
          <w:highlight w:val="none"/>
        </w:rPr>
        <w:t xml:space="preserve">第一章 </w:t>
      </w:r>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总则</w:t>
      </w:r>
    </w:p>
    <w:p w14:paraId="1F51320A">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sz w:val="32"/>
          <w:szCs w:val="32"/>
          <w:highlight w:val="none"/>
        </w:rPr>
        <w:t>第一条</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为维护渔港秩序，保护渔港环境，促进渔业经济发展，加强渔港监督管理，保障渔港设施、渔业船舶、公民人身及财产安全，根据《中华人民共和国海上交通安全法》《中华人民共和国环境保护法》《中华人民共和国渔港水域交通安全管理条例》《广东省渔港和渔业船舶管理条例》等有关法律、法规，结合</w:t>
      </w:r>
      <w:r>
        <w:rPr>
          <w:rFonts w:hint="eastAsia" w:ascii="仿宋" w:hAnsi="仿宋" w:eastAsia="仿宋" w:cs="仿宋"/>
          <w:color w:val="auto"/>
          <w:sz w:val="32"/>
          <w:szCs w:val="32"/>
          <w:highlight w:val="none"/>
          <w:lang w:val="en-US" w:eastAsia="zh-CN"/>
        </w:rPr>
        <w:t>湛江港渔业港区</w:t>
      </w:r>
      <w:r>
        <w:rPr>
          <w:rFonts w:hint="eastAsia" w:ascii="仿宋" w:hAnsi="仿宋" w:eastAsia="仿宋" w:cs="仿宋"/>
          <w:color w:val="auto"/>
          <w:sz w:val="32"/>
          <w:szCs w:val="32"/>
          <w:highlight w:val="none"/>
        </w:rPr>
        <w:t>实际，制定本章程。</w:t>
      </w:r>
    </w:p>
    <w:p w14:paraId="5E04AEB5">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sz w:val="32"/>
          <w:szCs w:val="32"/>
          <w:highlight w:val="none"/>
        </w:rPr>
        <w:t>第二条</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本章程适用于在</w:t>
      </w:r>
      <w:r>
        <w:rPr>
          <w:rFonts w:hint="eastAsia" w:ascii="仿宋" w:hAnsi="仿宋" w:eastAsia="仿宋" w:cs="仿宋"/>
          <w:color w:val="auto"/>
          <w:sz w:val="32"/>
          <w:szCs w:val="32"/>
          <w:highlight w:val="none"/>
          <w:lang w:val="en-US" w:eastAsia="zh-CN"/>
        </w:rPr>
        <w:t>湛江港渔业港区（以下简称“本渔港”）</w:t>
      </w:r>
      <w:r>
        <w:rPr>
          <w:rFonts w:hint="eastAsia" w:ascii="仿宋" w:hAnsi="仿宋" w:eastAsia="仿宋" w:cs="仿宋"/>
          <w:color w:val="auto"/>
          <w:sz w:val="32"/>
          <w:szCs w:val="32"/>
          <w:highlight w:val="none"/>
        </w:rPr>
        <w:t>范围内的船舶及从事渔港</w:t>
      </w:r>
      <w:r>
        <w:rPr>
          <w:rFonts w:hint="eastAsia" w:ascii="仿宋" w:hAnsi="仿宋" w:eastAsia="仿宋" w:cs="仿宋"/>
          <w:color w:val="auto"/>
          <w:sz w:val="32"/>
          <w:szCs w:val="32"/>
          <w:highlight w:val="none"/>
          <w:lang w:val="en-US" w:eastAsia="zh-CN"/>
        </w:rPr>
        <w:t>运营</w:t>
      </w:r>
      <w:r>
        <w:rPr>
          <w:rFonts w:hint="eastAsia" w:ascii="仿宋" w:hAnsi="仿宋" w:eastAsia="仿宋" w:cs="仿宋"/>
          <w:color w:val="auto"/>
          <w:sz w:val="32"/>
          <w:szCs w:val="32"/>
          <w:highlight w:val="none"/>
        </w:rPr>
        <w:t>管理、经营活动的公民、法人和其他组织。</w:t>
      </w:r>
    </w:p>
    <w:p w14:paraId="6BB94618">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sz w:val="32"/>
          <w:szCs w:val="32"/>
          <w:highlight w:val="none"/>
        </w:rPr>
        <w:t>第三条</w:t>
      </w:r>
      <w:r>
        <w:rPr>
          <w:rFonts w:hint="eastAsia" w:ascii="仿宋" w:hAnsi="仿宋" w:eastAsia="仿宋" w:cs="仿宋"/>
          <w:color w:val="auto"/>
          <w:sz w:val="32"/>
          <w:szCs w:val="32"/>
          <w:highlight w:val="none"/>
          <w:lang w:val="en-US" w:eastAsia="zh-CN"/>
        </w:rPr>
        <w:t xml:space="preserve">  霞山区农业农村局</w:t>
      </w:r>
      <w:r>
        <w:rPr>
          <w:rFonts w:hint="eastAsia" w:ascii="仿宋" w:hAnsi="仿宋" w:eastAsia="仿宋" w:cs="仿宋"/>
          <w:color w:val="auto"/>
          <w:sz w:val="32"/>
          <w:szCs w:val="32"/>
          <w:highlight w:val="none"/>
          <w:lang w:eastAsia="zh-CN"/>
        </w:rPr>
        <w:t>为</w:t>
      </w:r>
      <w:r>
        <w:rPr>
          <w:rFonts w:hint="eastAsia" w:ascii="仿宋" w:hAnsi="仿宋" w:eastAsia="仿宋" w:cs="仿宋"/>
          <w:color w:val="auto"/>
          <w:sz w:val="32"/>
          <w:szCs w:val="32"/>
          <w:highlight w:val="none"/>
          <w:lang w:val="en-US" w:eastAsia="zh-CN"/>
        </w:rPr>
        <w:t>本</w:t>
      </w:r>
      <w:r>
        <w:rPr>
          <w:rFonts w:hint="eastAsia" w:ascii="仿宋" w:hAnsi="仿宋" w:eastAsia="仿宋" w:cs="仿宋"/>
          <w:color w:val="auto"/>
          <w:sz w:val="32"/>
          <w:szCs w:val="32"/>
          <w:highlight w:val="none"/>
          <w:lang w:eastAsia="zh-CN"/>
        </w:rPr>
        <w:t>渔港的</w:t>
      </w:r>
      <w:r>
        <w:rPr>
          <w:rFonts w:hint="eastAsia" w:ascii="仿宋" w:hAnsi="仿宋" w:eastAsia="仿宋" w:cs="仿宋"/>
          <w:color w:val="auto"/>
          <w:sz w:val="32"/>
          <w:szCs w:val="32"/>
          <w:highlight w:val="none"/>
          <w:lang w:val="en-US" w:eastAsia="zh-CN"/>
        </w:rPr>
        <w:t>行政</w:t>
      </w:r>
      <w:r>
        <w:rPr>
          <w:rFonts w:hint="eastAsia" w:ascii="仿宋" w:hAnsi="仿宋" w:eastAsia="仿宋" w:cs="仿宋"/>
          <w:color w:val="auto"/>
          <w:sz w:val="32"/>
          <w:szCs w:val="32"/>
          <w:highlight w:val="none"/>
          <w:lang w:eastAsia="zh-CN"/>
        </w:rPr>
        <w:t>主管部门，</w:t>
      </w:r>
      <w:r>
        <w:rPr>
          <w:rFonts w:hint="eastAsia" w:ascii="仿宋" w:hAnsi="仿宋" w:eastAsia="仿宋" w:cs="仿宋"/>
          <w:color w:val="auto"/>
          <w:sz w:val="32"/>
          <w:szCs w:val="32"/>
          <w:highlight w:val="none"/>
          <w:lang w:val="en-US" w:eastAsia="zh-CN"/>
        </w:rPr>
        <w:t>负责指导渔港区域内的水域安全管理、船舶管理，并协助开展渔政、渔港监督管理。</w:t>
      </w:r>
    </w:p>
    <w:p w14:paraId="43EDD552">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湛江市海洋综合执法机构为本</w:t>
      </w:r>
      <w:r>
        <w:rPr>
          <w:rFonts w:hint="eastAsia" w:ascii="仿宋" w:hAnsi="仿宋" w:eastAsia="仿宋" w:cs="仿宋"/>
          <w:color w:val="auto"/>
          <w:sz w:val="32"/>
          <w:szCs w:val="32"/>
          <w:highlight w:val="none"/>
          <w:lang w:eastAsia="zh-CN"/>
        </w:rPr>
        <w:t>渔港</w:t>
      </w:r>
      <w:r>
        <w:rPr>
          <w:rFonts w:hint="eastAsia" w:ascii="仿宋" w:hAnsi="仿宋" w:eastAsia="仿宋" w:cs="仿宋"/>
          <w:color w:val="auto"/>
          <w:sz w:val="32"/>
          <w:szCs w:val="32"/>
          <w:highlight w:val="none"/>
          <w:lang w:val="en-US" w:eastAsia="zh-CN"/>
        </w:rPr>
        <w:t>的监督管理机构，依法对本</w:t>
      </w:r>
      <w:r>
        <w:rPr>
          <w:rFonts w:hint="eastAsia" w:ascii="仿宋" w:hAnsi="仿宋" w:eastAsia="仿宋" w:cs="仿宋"/>
          <w:color w:val="auto"/>
          <w:sz w:val="32"/>
          <w:szCs w:val="32"/>
          <w:highlight w:val="none"/>
          <w:lang w:eastAsia="zh-CN"/>
        </w:rPr>
        <w:t>渔港</w:t>
      </w:r>
      <w:r>
        <w:rPr>
          <w:rFonts w:hint="eastAsia" w:ascii="仿宋" w:hAnsi="仿宋" w:eastAsia="仿宋" w:cs="仿宋"/>
          <w:color w:val="auto"/>
          <w:sz w:val="32"/>
          <w:szCs w:val="32"/>
          <w:highlight w:val="none"/>
          <w:lang w:val="en-US" w:eastAsia="zh-CN"/>
        </w:rPr>
        <w:t>水域交通安全实施监督管理。</w:t>
      </w:r>
    </w:p>
    <w:p w14:paraId="5F359D5D">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 xml:space="preserve">霞山区渔业渔港综合服务中心为本渔港的港务管理机构，负责渔港规划、建设、设施维护和码头管理等工作。 </w:t>
      </w:r>
    </w:p>
    <w:p w14:paraId="13A28AED">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渔港所在街道办事处落实霞山区人民政府以及渔港主管部门关于渔港建设与管理的相关要求，管理渔港生产经营单位，负责渔港区域陆地的环境卫生，改善渔港环境和整体面貌，提高渔港防灾减灾能力，促进渔区经济社会发展。</w:t>
      </w:r>
    </w:p>
    <w:p w14:paraId="6885E687">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市场监督管理部门按职责负责渔港区域内各类市场主体登记，按照市场监管部门职责对市场主体生产经营行为依法监管，营造公平竞争环境。</w:t>
      </w:r>
    </w:p>
    <w:p w14:paraId="427364D8">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发改部门负责牵头组织有关部门对渔港区域内的成品油经营许可及经营活动开展监督管理工作。</w:t>
      </w:r>
    </w:p>
    <w:p w14:paraId="4D2CA425">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应急管理部门负责指导区渔业渔政等部门应对渔港区域内安全生产类、自然灾害类突发事件和相关防灾减灾救灾工作。</w:t>
      </w:r>
    </w:p>
    <w:p w14:paraId="191AF0CF">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highlight w:val="none"/>
          <w:lang w:val="en-US" w:eastAsia="zh-CN"/>
        </w:rPr>
      </w:pPr>
      <w:bookmarkStart w:id="0" w:name="OLE_LINK2"/>
      <w:r>
        <w:rPr>
          <w:rFonts w:hint="eastAsia" w:ascii="仿宋" w:hAnsi="仿宋" w:eastAsia="仿宋" w:cs="仿宋"/>
          <w:color w:val="auto"/>
          <w:sz w:val="32"/>
          <w:szCs w:val="32"/>
          <w:highlight w:val="none"/>
          <w:lang w:val="en-US" w:eastAsia="zh-CN"/>
        </w:rPr>
        <w:t>消防救援部门负责指导渔港区域的消防管理工作，协助港内消防救援工作，并对渔港陆域范围的消防管理工作进行监督。</w:t>
      </w:r>
    </w:p>
    <w:bookmarkEnd w:id="0"/>
    <w:p w14:paraId="535744DB">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highlight w:val="none"/>
          <w:lang w:val="en-US" w:eastAsia="zh-CN"/>
        </w:rPr>
      </w:pPr>
      <w:bookmarkStart w:id="1" w:name="OLE_LINK1"/>
      <w:r>
        <w:rPr>
          <w:rFonts w:hint="eastAsia" w:ascii="仿宋" w:hAnsi="仿宋" w:eastAsia="仿宋" w:cs="仿宋"/>
          <w:color w:val="auto"/>
          <w:sz w:val="32"/>
          <w:szCs w:val="32"/>
          <w:highlight w:val="none"/>
          <w:lang w:val="en-US" w:eastAsia="zh-CN"/>
        </w:rPr>
        <w:t>公安部门、海警部门依照职责分工共同做好渔港区域内社会治安管理及涉刑违法行为查处等工作，配合做好船舶通航及港口的社会治安综合治理等工作。</w:t>
      </w:r>
      <w:bookmarkEnd w:id="1"/>
    </w:p>
    <w:p w14:paraId="1BC7AFF3">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城市综合执法部门负责渔港陆域部分港容港貌、环境卫生的监督管理工作。</w:t>
      </w:r>
    </w:p>
    <w:p w14:paraId="4C51A8F8">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环卫处、城市综合执法部门、海洋综合执法机构、属地街道办事处等单位依照《霞山区人民政府办公室关于印发霞山区岸滩垃圾清理保洁和海水养殖整改工作方案的通知》分工做好渔港内岸滩垃圾清理保洁工作。</w:t>
      </w:r>
    </w:p>
    <w:p w14:paraId="001EE19F">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供电部门按职责负责落实好渔港区域内的用电检查、指导和监督管理工作，协助管理、维护港区内其他用电设备。</w:t>
      </w:r>
    </w:p>
    <w:p w14:paraId="3F89B9CF">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交通部门、海事管理机构配合做好渔港区域内的非渔业船舶管理工作。</w:t>
      </w:r>
    </w:p>
    <w:p w14:paraId="215BEC64">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color w:val="auto"/>
          <w:sz w:val="32"/>
          <w:szCs w:val="32"/>
          <w:highlight w:val="none"/>
          <w:lang w:val="en-US" w:eastAsia="zh-CN"/>
        </w:rPr>
        <w:t>生态环境、旅游、财政等涉及渔港管理的其他成员单位及其职能部门根据各自职责负责相应管理工作。</w:t>
      </w:r>
    </w:p>
    <w:p w14:paraId="1A62B5B1">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highlight w:val="none"/>
          <w:lang w:val="en-US" w:eastAsia="zh-CN"/>
        </w:rPr>
      </w:pPr>
    </w:p>
    <w:p w14:paraId="66E9CD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32"/>
          <w:szCs w:val="32"/>
          <w:highlight w:val="none"/>
        </w:rPr>
      </w:pPr>
      <w:r>
        <w:rPr>
          <w:rFonts w:hint="eastAsia" w:ascii="黑体" w:hAnsi="黑体" w:eastAsia="黑体" w:cs="黑体"/>
          <w:color w:val="auto"/>
          <w:sz w:val="32"/>
          <w:szCs w:val="32"/>
          <w:highlight w:val="none"/>
        </w:rPr>
        <w:t>第二章</w:t>
      </w:r>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渔港概况</w:t>
      </w:r>
    </w:p>
    <w:p w14:paraId="04442777">
      <w:pPr>
        <w:keepNext w:val="0"/>
        <w:keepLines w:val="0"/>
        <w:pageBreakBefore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第四条</w:t>
      </w:r>
      <w:r>
        <w:rPr>
          <w:rFonts w:hint="eastAsia" w:ascii="仿宋" w:hAnsi="仿宋" w:eastAsia="仿宋" w:cs="仿宋"/>
          <w:color w:val="auto"/>
          <w:sz w:val="32"/>
          <w:szCs w:val="32"/>
          <w:highlight w:val="none"/>
          <w:lang w:val="en-US" w:eastAsia="zh-CN"/>
        </w:rPr>
        <w:t xml:space="preserve"> 本渔港位于湛江市霞山区海滨公园南侧，中心地理坐标为：110°25′36″E , 21°11′57″N。</w:t>
      </w:r>
    </w:p>
    <w:p w14:paraId="0F6F1667">
      <w:pPr>
        <w:keepNext w:val="0"/>
        <w:keepLines w:val="0"/>
        <w:pageBreakBefore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第五条</w:t>
      </w:r>
      <w:r>
        <w:rPr>
          <w:rFonts w:hint="eastAsia" w:ascii="仿宋" w:hAnsi="仿宋" w:eastAsia="仿宋" w:cs="仿宋"/>
          <w:color w:val="auto"/>
          <w:sz w:val="32"/>
          <w:szCs w:val="32"/>
          <w:highlight w:val="none"/>
          <w:lang w:val="en-US" w:eastAsia="zh-CN"/>
        </w:rPr>
        <w:t xml:space="preserve">  本渔港范围包含水域范围和陆域范围。渔港总面积约56.17万平方米，其中水域面积约40.50万平方米（含航道、港池、停泊区、避风塘等），陆域面积约15.67万平方米（含岸线、码头、装卸作业区、水产品交易区、沿港道路及渔港配套用地等），渔港港界由以下坐标点连线范围：</w:t>
      </w:r>
    </w:p>
    <w:p w14:paraId="7B5B5940">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highlight w:val="none"/>
          <w:lang w:val="en-US" w:eastAsia="zh-CN"/>
        </w:rPr>
      </w:pPr>
    </w:p>
    <w:p w14:paraId="2F2971E2">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highlight w:val="none"/>
          <w:lang w:val="en-US" w:eastAsia="zh-CN"/>
        </w:rPr>
      </w:pPr>
    </w:p>
    <w:p w14:paraId="4026296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霞山渔港港界坐标表（详见附件）</w:t>
      </w:r>
    </w:p>
    <w:tbl>
      <w:tblPr>
        <w:tblStyle w:val="6"/>
        <w:tblW w:w="901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965"/>
        <w:gridCol w:w="1841"/>
        <w:gridCol w:w="1634"/>
        <w:gridCol w:w="1116"/>
        <w:gridCol w:w="1734"/>
        <w:gridCol w:w="1720"/>
      </w:tblGrid>
      <w:tr w14:paraId="68FE0C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jc w:val="center"/>
        </w:trPr>
        <w:tc>
          <w:tcPr>
            <w:tcW w:w="965" w:type="dxa"/>
            <w:tcBorders>
              <w:tl2br w:val="nil"/>
              <w:tr2bl w:val="nil"/>
            </w:tcBorders>
            <w:shd w:val="clear" w:color="auto" w:fill="auto"/>
            <w:noWrap/>
            <w:vAlign w:val="center"/>
          </w:tcPr>
          <w:p w14:paraId="30BDD4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sz w:val="24"/>
                <w:szCs w:val="24"/>
                <w:highlight w:val="none"/>
                <w:u w:val="none"/>
                <w:lang w:val="en-US" w:eastAsia="zh-CN"/>
              </w:rPr>
            </w:pPr>
            <w:r>
              <w:rPr>
                <w:rFonts w:hint="eastAsia" w:ascii="仿宋" w:hAnsi="仿宋" w:eastAsia="仿宋" w:cs="仿宋"/>
                <w:b/>
                <w:bCs/>
                <w:i w:val="0"/>
                <w:iCs w:val="0"/>
                <w:color w:val="auto"/>
                <w:sz w:val="24"/>
                <w:szCs w:val="24"/>
                <w:highlight w:val="none"/>
                <w:u w:val="none"/>
                <w:lang w:val="en-US" w:eastAsia="zh-CN"/>
              </w:rPr>
              <w:t>界址点</w:t>
            </w:r>
          </w:p>
        </w:tc>
        <w:tc>
          <w:tcPr>
            <w:tcW w:w="1841" w:type="dxa"/>
            <w:tcBorders>
              <w:tl2br w:val="nil"/>
              <w:tr2bl w:val="nil"/>
            </w:tcBorders>
            <w:shd w:val="clear" w:color="auto" w:fill="auto"/>
            <w:noWrap/>
            <w:vAlign w:val="center"/>
          </w:tcPr>
          <w:p w14:paraId="20315F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sz w:val="24"/>
                <w:szCs w:val="24"/>
                <w:highlight w:val="none"/>
                <w:u w:val="none"/>
                <w:lang w:val="en-US" w:eastAsia="zh-CN"/>
              </w:rPr>
            </w:pPr>
            <w:r>
              <w:rPr>
                <w:rFonts w:hint="eastAsia" w:ascii="仿宋" w:hAnsi="仿宋" w:eastAsia="仿宋" w:cs="仿宋"/>
                <w:b/>
                <w:bCs/>
                <w:i w:val="0"/>
                <w:iCs w:val="0"/>
                <w:color w:val="auto"/>
                <w:sz w:val="24"/>
                <w:szCs w:val="24"/>
                <w:highlight w:val="none"/>
                <w:u w:val="none"/>
                <w:lang w:val="en-US" w:eastAsia="zh-CN"/>
              </w:rPr>
              <w:t>北纬</w:t>
            </w:r>
          </w:p>
        </w:tc>
        <w:tc>
          <w:tcPr>
            <w:tcW w:w="1634" w:type="dxa"/>
            <w:tcBorders>
              <w:tl2br w:val="nil"/>
              <w:tr2bl w:val="nil"/>
            </w:tcBorders>
            <w:shd w:val="clear" w:color="auto" w:fill="auto"/>
            <w:noWrap/>
            <w:vAlign w:val="center"/>
          </w:tcPr>
          <w:p w14:paraId="3AE29B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sz w:val="24"/>
                <w:szCs w:val="24"/>
                <w:highlight w:val="none"/>
                <w:u w:val="none"/>
                <w:lang w:val="en-US" w:eastAsia="zh-CN"/>
              </w:rPr>
            </w:pPr>
            <w:r>
              <w:rPr>
                <w:rFonts w:hint="eastAsia" w:ascii="仿宋" w:hAnsi="仿宋" w:eastAsia="仿宋" w:cs="仿宋"/>
                <w:b/>
                <w:bCs/>
                <w:i w:val="0"/>
                <w:iCs w:val="0"/>
                <w:color w:val="auto"/>
                <w:sz w:val="24"/>
                <w:szCs w:val="24"/>
                <w:highlight w:val="none"/>
                <w:u w:val="none"/>
                <w:lang w:val="en-US" w:eastAsia="zh-CN"/>
              </w:rPr>
              <w:t>东经</w:t>
            </w:r>
          </w:p>
        </w:tc>
        <w:tc>
          <w:tcPr>
            <w:tcW w:w="1116" w:type="dxa"/>
            <w:tcBorders>
              <w:tl2br w:val="nil"/>
              <w:tr2bl w:val="nil"/>
            </w:tcBorders>
            <w:shd w:val="clear" w:color="auto" w:fill="auto"/>
            <w:noWrap/>
            <w:vAlign w:val="center"/>
          </w:tcPr>
          <w:p w14:paraId="450EB7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kern w:val="2"/>
                <w:sz w:val="24"/>
                <w:szCs w:val="24"/>
                <w:highlight w:val="none"/>
                <w:u w:val="none"/>
                <w:lang w:val="en-US" w:eastAsia="zh-CN" w:bidi="ar-SA"/>
              </w:rPr>
            </w:pPr>
            <w:r>
              <w:rPr>
                <w:rFonts w:hint="eastAsia" w:ascii="仿宋" w:hAnsi="仿宋" w:eastAsia="仿宋" w:cs="仿宋"/>
                <w:b/>
                <w:bCs/>
                <w:i w:val="0"/>
                <w:iCs w:val="0"/>
                <w:color w:val="auto"/>
                <w:sz w:val="24"/>
                <w:szCs w:val="24"/>
                <w:highlight w:val="none"/>
                <w:u w:val="none"/>
                <w:lang w:val="en-US" w:eastAsia="zh-CN"/>
              </w:rPr>
              <w:t>界址点</w:t>
            </w:r>
          </w:p>
        </w:tc>
        <w:tc>
          <w:tcPr>
            <w:tcW w:w="1734" w:type="dxa"/>
            <w:tcBorders>
              <w:tl2br w:val="nil"/>
              <w:tr2bl w:val="nil"/>
            </w:tcBorders>
            <w:shd w:val="clear" w:color="auto" w:fill="auto"/>
            <w:noWrap/>
            <w:vAlign w:val="center"/>
          </w:tcPr>
          <w:p w14:paraId="6A95DE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kern w:val="2"/>
                <w:sz w:val="24"/>
                <w:szCs w:val="24"/>
                <w:highlight w:val="none"/>
                <w:u w:val="none"/>
                <w:lang w:val="en-US" w:eastAsia="zh-CN" w:bidi="ar-SA"/>
              </w:rPr>
            </w:pPr>
            <w:r>
              <w:rPr>
                <w:rFonts w:hint="eastAsia" w:ascii="仿宋" w:hAnsi="仿宋" w:eastAsia="仿宋" w:cs="仿宋"/>
                <w:b/>
                <w:bCs/>
                <w:i w:val="0"/>
                <w:iCs w:val="0"/>
                <w:color w:val="auto"/>
                <w:sz w:val="24"/>
                <w:szCs w:val="24"/>
                <w:highlight w:val="none"/>
                <w:u w:val="none"/>
                <w:lang w:val="en-US" w:eastAsia="zh-CN"/>
              </w:rPr>
              <w:t>北纬</w:t>
            </w:r>
          </w:p>
        </w:tc>
        <w:tc>
          <w:tcPr>
            <w:tcW w:w="1720" w:type="dxa"/>
            <w:tcBorders>
              <w:tl2br w:val="nil"/>
              <w:tr2bl w:val="nil"/>
            </w:tcBorders>
            <w:shd w:val="clear" w:color="auto" w:fill="auto"/>
            <w:noWrap/>
            <w:vAlign w:val="center"/>
          </w:tcPr>
          <w:p w14:paraId="15112E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kern w:val="2"/>
                <w:sz w:val="24"/>
                <w:szCs w:val="24"/>
                <w:highlight w:val="none"/>
                <w:u w:val="none"/>
                <w:lang w:val="en-US" w:eastAsia="zh-CN" w:bidi="ar-SA"/>
              </w:rPr>
            </w:pPr>
            <w:r>
              <w:rPr>
                <w:rFonts w:hint="eastAsia" w:ascii="仿宋" w:hAnsi="仿宋" w:eastAsia="仿宋" w:cs="仿宋"/>
                <w:b/>
                <w:bCs/>
                <w:i w:val="0"/>
                <w:iCs w:val="0"/>
                <w:color w:val="auto"/>
                <w:sz w:val="24"/>
                <w:szCs w:val="24"/>
                <w:highlight w:val="none"/>
                <w:u w:val="none"/>
                <w:lang w:val="en-US" w:eastAsia="zh-CN"/>
              </w:rPr>
              <w:t>东经</w:t>
            </w:r>
          </w:p>
        </w:tc>
      </w:tr>
      <w:tr w14:paraId="2EFC4B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965" w:type="dxa"/>
            <w:tcBorders>
              <w:tl2br w:val="nil"/>
              <w:tr2bl w:val="nil"/>
            </w:tcBorders>
            <w:shd w:val="clear" w:color="auto" w:fill="FFFFFF"/>
            <w:vAlign w:val="center"/>
          </w:tcPr>
          <w:p w14:paraId="1402D5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lang w:val="en-US" w:eastAsia="zh-CN"/>
              </w:rPr>
              <w:t>S1</w:t>
            </w:r>
          </w:p>
        </w:tc>
        <w:tc>
          <w:tcPr>
            <w:tcW w:w="1841" w:type="dxa"/>
            <w:tcBorders>
              <w:tl2br w:val="nil"/>
              <w:tr2bl w:val="nil"/>
            </w:tcBorders>
            <w:shd w:val="clear" w:color="auto" w:fill="FFFFFF"/>
            <w:vAlign w:val="center"/>
          </w:tcPr>
          <w:p w14:paraId="6F6AE5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lang w:eastAsia="zh-CN"/>
              </w:rPr>
              <w:t>21.1858850</w:t>
            </w:r>
          </w:p>
        </w:tc>
        <w:tc>
          <w:tcPr>
            <w:tcW w:w="1634" w:type="dxa"/>
            <w:tcBorders>
              <w:tl2br w:val="nil"/>
              <w:tr2bl w:val="nil"/>
            </w:tcBorders>
            <w:shd w:val="clear" w:color="auto" w:fill="FFFFFF"/>
            <w:vAlign w:val="center"/>
          </w:tcPr>
          <w:p w14:paraId="1A6A68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lang w:eastAsia="zh-CN"/>
              </w:rPr>
              <w:t xml:space="preserve">110.4153080  </w:t>
            </w:r>
          </w:p>
        </w:tc>
        <w:tc>
          <w:tcPr>
            <w:tcW w:w="1116" w:type="dxa"/>
            <w:tcBorders>
              <w:tl2br w:val="nil"/>
              <w:tr2bl w:val="nil"/>
            </w:tcBorders>
            <w:shd w:val="clear" w:color="auto" w:fill="FFFFFF"/>
            <w:vAlign w:val="center"/>
          </w:tcPr>
          <w:p w14:paraId="32B09C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S25</w:t>
            </w:r>
          </w:p>
        </w:tc>
        <w:tc>
          <w:tcPr>
            <w:tcW w:w="1734" w:type="dxa"/>
            <w:tcBorders>
              <w:tl2br w:val="nil"/>
              <w:tr2bl w:val="nil"/>
            </w:tcBorders>
            <w:shd w:val="clear" w:color="auto" w:fill="FFFFFF"/>
            <w:vAlign w:val="center"/>
          </w:tcPr>
          <w:p w14:paraId="177178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21.1917030</w:t>
            </w:r>
          </w:p>
        </w:tc>
        <w:tc>
          <w:tcPr>
            <w:tcW w:w="1720" w:type="dxa"/>
            <w:tcBorders>
              <w:tl2br w:val="nil"/>
              <w:tr2bl w:val="nil"/>
            </w:tcBorders>
            <w:shd w:val="clear" w:color="auto" w:fill="FFFFFF"/>
            <w:vAlign w:val="center"/>
          </w:tcPr>
          <w:p w14:paraId="50E9E50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110.4150850</w:t>
            </w:r>
          </w:p>
        </w:tc>
      </w:tr>
      <w:tr w14:paraId="1CB3F3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965" w:type="dxa"/>
            <w:tcBorders>
              <w:tl2br w:val="nil"/>
              <w:tr2bl w:val="nil"/>
            </w:tcBorders>
            <w:shd w:val="clear" w:color="auto" w:fill="FFFFFF"/>
            <w:vAlign w:val="center"/>
          </w:tcPr>
          <w:p w14:paraId="535C06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lang w:val="en-US" w:eastAsia="zh-CN"/>
              </w:rPr>
              <w:t>S2</w:t>
            </w:r>
          </w:p>
        </w:tc>
        <w:tc>
          <w:tcPr>
            <w:tcW w:w="1841" w:type="dxa"/>
            <w:tcBorders>
              <w:tl2br w:val="nil"/>
              <w:tr2bl w:val="nil"/>
            </w:tcBorders>
            <w:shd w:val="clear" w:color="auto" w:fill="FFFFFF"/>
            <w:vAlign w:val="center"/>
          </w:tcPr>
          <w:p w14:paraId="675107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lang w:eastAsia="zh-CN"/>
              </w:rPr>
              <w:t>21.1879690</w:t>
            </w:r>
          </w:p>
        </w:tc>
        <w:tc>
          <w:tcPr>
            <w:tcW w:w="1634" w:type="dxa"/>
            <w:tcBorders>
              <w:tl2br w:val="nil"/>
              <w:tr2bl w:val="nil"/>
            </w:tcBorders>
            <w:shd w:val="clear" w:color="auto" w:fill="FFFFFF"/>
            <w:vAlign w:val="center"/>
          </w:tcPr>
          <w:p w14:paraId="4691C4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lang w:eastAsia="zh-CN"/>
              </w:rPr>
              <w:t xml:space="preserve">110.4177100 </w:t>
            </w:r>
          </w:p>
        </w:tc>
        <w:tc>
          <w:tcPr>
            <w:tcW w:w="1116" w:type="dxa"/>
            <w:tcBorders>
              <w:tl2br w:val="nil"/>
              <w:tr2bl w:val="nil"/>
            </w:tcBorders>
            <w:shd w:val="clear" w:color="auto" w:fill="FFFFFF"/>
            <w:vAlign w:val="center"/>
          </w:tcPr>
          <w:p w14:paraId="7F9917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S26</w:t>
            </w:r>
          </w:p>
        </w:tc>
        <w:tc>
          <w:tcPr>
            <w:tcW w:w="1734" w:type="dxa"/>
            <w:tcBorders>
              <w:tl2br w:val="nil"/>
              <w:tr2bl w:val="nil"/>
            </w:tcBorders>
            <w:shd w:val="clear" w:color="auto" w:fill="FFFFFF"/>
            <w:vAlign w:val="center"/>
          </w:tcPr>
          <w:p w14:paraId="128F66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21.1917190</w:t>
            </w:r>
          </w:p>
        </w:tc>
        <w:tc>
          <w:tcPr>
            <w:tcW w:w="1720" w:type="dxa"/>
            <w:tcBorders>
              <w:tl2br w:val="nil"/>
              <w:tr2bl w:val="nil"/>
            </w:tcBorders>
            <w:shd w:val="clear" w:color="auto" w:fill="FFFFFF"/>
            <w:vAlign w:val="center"/>
          </w:tcPr>
          <w:p w14:paraId="2E6ECB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110.4149140</w:t>
            </w:r>
          </w:p>
        </w:tc>
      </w:tr>
      <w:tr w14:paraId="37F6DA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965" w:type="dxa"/>
            <w:tcBorders>
              <w:tl2br w:val="nil"/>
              <w:tr2bl w:val="nil"/>
            </w:tcBorders>
            <w:shd w:val="clear" w:color="auto" w:fill="FFFFFF"/>
            <w:vAlign w:val="center"/>
          </w:tcPr>
          <w:p w14:paraId="3D1403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lang w:val="en-US" w:eastAsia="zh-CN"/>
              </w:rPr>
              <w:t>S3</w:t>
            </w:r>
          </w:p>
        </w:tc>
        <w:tc>
          <w:tcPr>
            <w:tcW w:w="1841" w:type="dxa"/>
            <w:tcBorders>
              <w:tl2br w:val="nil"/>
              <w:tr2bl w:val="nil"/>
            </w:tcBorders>
            <w:shd w:val="clear" w:color="auto" w:fill="FFFFFF"/>
            <w:vAlign w:val="center"/>
          </w:tcPr>
          <w:p w14:paraId="6A5F0D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lang w:eastAsia="zh-CN"/>
              </w:rPr>
              <w:t>21.1913650</w:t>
            </w:r>
          </w:p>
        </w:tc>
        <w:tc>
          <w:tcPr>
            <w:tcW w:w="1634" w:type="dxa"/>
            <w:tcBorders>
              <w:tl2br w:val="nil"/>
              <w:tr2bl w:val="nil"/>
            </w:tcBorders>
            <w:shd w:val="clear" w:color="auto" w:fill="FFFFFF"/>
            <w:vAlign w:val="center"/>
          </w:tcPr>
          <w:p w14:paraId="3B4636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lang w:eastAsia="zh-CN"/>
              </w:rPr>
              <w:t xml:space="preserve">110.4181570   </w:t>
            </w:r>
          </w:p>
        </w:tc>
        <w:tc>
          <w:tcPr>
            <w:tcW w:w="1116" w:type="dxa"/>
            <w:tcBorders>
              <w:tl2br w:val="nil"/>
              <w:tr2bl w:val="nil"/>
            </w:tcBorders>
            <w:shd w:val="clear" w:color="auto" w:fill="FFFFFF"/>
            <w:vAlign w:val="center"/>
          </w:tcPr>
          <w:p w14:paraId="4AE891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S27</w:t>
            </w:r>
          </w:p>
        </w:tc>
        <w:tc>
          <w:tcPr>
            <w:tcW w:w="1734" w:type="dxa"/>
            <w:tcBorders>
              <w:tl2br w:val="nil"/>
              <w:tr2bl w:val="nil"/>
            </w:tcBorders>
            <w:shd w:val="clear" w:color="auto" w:fill="FFFFFF"/>
            <w:vAlign w:val="center"/>
          </w:tcPr>
          <w:p w14:paraId="389546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21.1903290</w:t>
            </w:r>
          </w:p>
        </w:tc>
        <w:tc>
          <w:tcPr>
            <w:tcW w:w="1720" w:type="dxa"/>
            <w:tcBorders>
              <w:tl2br w:val="nil"/>
              <w:tr2bl w:val="nil"/>
            </w:tcBorders>
            <w:shd w:val="clear" w:color="auto" w:fill="FFFFFF"/>
            <w:vAlign w:val="center"/>
          </w:tcPr>
          <w:p w14:paraId="1C4B0D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110.4145630</w:t>
            </w:r>
          </w:p>
        </w:tc>
      </w:tr>
      <w:tr w14:paraId="0AEC93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965" w:type="dxa"/>
            <w:tcBorders>
              <w:tl2br w:val="nil"/>
              <w:tr2bl w:val="nil"/>
            </w:tcBorders>
            <w:shd w:val="clear" w:color="auto" w:fill="FFFFFF"/>
            <w:vAlign w:val="center"/>
          </w:tcPr>
          <w:p w14:paraId="6A2450B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lang w:val="en-US" w:eastAsia="zh-CN"/>
              </w:rPr>
              <w:t>S4</w:t>
            </w:r>
          </w:p>
        </w:tc>
        <w:tc>
          <w:tcPr>
            <w:tcW w:w="1841" w:type="dxa"/>
            <w:tcBorders>
              <w:tl2br w:val="nil"/>
              <w:tr2bl w:val="nil"/>
            </w:tcBorders>
            <w:shd w:val="clear" w:color="auto" w:fill="FFFFFF"/>
            <w:vAlign w:val="center"/>
          </w:tcPr>
          <w:p w14:paraId="3D29A9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lang w:eastAsia="zh-CN"/>
              </w:rPr>
              <w:t>21.1925970</w:t>
            </w:r>
          </w:p>
        </w:tc>
        <w:tc>
          <w:tcPr>
            <w:tcW w:w="1634" w:type="dxa"/>
            <w:tcBorders>
              <w:tl2br w:val="nil"/>
              <w:tr2bl w:val="nil"/>
            </w:tcBorders>
            <w:shd w:val="clear" w:color="auto" w:fill="FFFFFF"/>
            <w:vAlign w:val="center"/>
          </w:tcPr>
          <w:p w14:paraId="5091AF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lang w:eastAsia="zh-CN"/>
              </w:rPr>
              <w:t xml:space="preserve">110.4183130   </w:t>
            </w:r>
          </w:p>
        </w:tc>
        <w:tc>
          <w:tcPr>
            <w:tcW w:w="1116" w:type="dxa"/>
            <w:tcBorders>
              <w:tl2br w:val="nil"/>
              <w:tr2bl w:val="nil"/>
            </w:tcBorders>
            <w:shd w:val="clear" w:color="auto" w:fill="FFFFFF"/>
            <w:vAlign w:val="center"/>
          </w:tcPr>
          <w:p w14:paraId="6B6B0C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S28</w:t>
            </w:r>
          </w:p>
        </w:tc>
        <w:tc>
          <w:tcPr>
            <w:tcW w:w="1734" w:type="dxa"/>
            <w:tcBorders>
              <w:tl2br w:val="nil"/>
              <w:tr2bl w:val="nil"/>
            </w:tcBorders>
            <w:shd w:val="clear" w:color="auto" w:fill="FFFFFF"/>
            <w:vAlign w:val="center"/>
          </w:tcPr>
          <w:p w14:paraId="51643E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21.1898820</w:t>
            </w:r>
          </w:p>
        </w:tc>
        <w:tc>
          <w:tcPr>
            <w:tcW w:w="1720" w:type="dxa"/>
            <w:tcBorders>
              <w:tl2br w:val="nil"/>
              <w:tr2bl w:val="nil"/>
            </w:tcBorders>
            <w:shd w:val="clear" w:color="auto" w:fill="FFFFFF"/>
            <w:vAlign w:val="center"/>
          </w:tcPr>
          <w:p w14:paraId="4BFF3E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110.4135530</w:t>
            </w:r>
          </w:p>
        </w:tc>
      </w:tr>
      <w:tr w14:paraId="6A6C37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965" w:type="dxa"/>
            <w:tcBorders>
              <w:tl2br w:val="nil"/>
              <w:tr2bl w:val="nil"/>
            </w:tcBorders>
            <w:shd w:val="clear" w:color="auto" w:fill="FFFFFF"/>
            <w:vAlign w:val="center"/>
          </w:tcPr>
          <w:p w14:paraId="33BD4F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lang w:val="en-US" w:eastAsia="zh-CN"/>
              </w:rPr>
              <w:t>S5</w:t>
            </w:r>
          </w:p>
        </w:tc>
        <w:tc>
          <w:tcPr>
            <w:tcW w:w="1841" w:type="dxa"/>
            <w:tcBorders>
              <w:tl2br w:val="nil"/>
              <w:tr2bl w:val="nil"/>
            </w:tcBorders>
            <w:shd w:val="clear" w:color="auto" w:fill="FFFFFF"/>
            <w:vAlign w:val="center"/>
          </w:tcPr>
          <w:p w14:paraId="41865D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lang w:eastAsia="zh-CN"/>
              </w:rPr>
              <w:t xml:space="preserve">21.1958460 </w:t>
            </w:r>
          </w:p>
        </w:tc>
        <w:tc>
          <w:tcPr>
            <w:tcW w:w="1634" w:type="dxa"/>
            <w:tcBorders>
              <w:tl2br w:val="nil"/>
              <w:tr2bl w:val="nil"/>
            </w:tcBorders>
            <w:shd w:val="clear" w:color="auto" w:fill="FFFFFF"/>
            <w:vAlign w:val="center"/>
          </w:tcPr>
          <w:p w14:paraId="312F34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lang w:eastAsia="zh-CN"/>
              </w:rPr>
              <w:t>110.4175230</w:t>
            </w:r>
          </w:p>
        </w:tc>
        <w:tc>
          <w:tcPr>
            <w:tcW w:w="1116" w:type="dxa"/>
            <w:tcBorders>
              <w:tl2br w:val="nil"/>
              <w:tr2bl w:val="nil"/>
            </w:tcBorders>
            <w:shd w:val="clear" w:color="auto" w:fill="FFFFFF"/>
            <w:vAlign w:val="center"/>
          </w:tcPr>
          <w:p w14:paraId="507477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S29</w:t>
            </w:r>
          </w:p>
        </w:tc>
        <w:tc>
          <w:tcPr>
            <w:tcW w:w="1734" w:type="dxa"/>
            <w:tcBorders>
              <w:tl2br w:val="nil"/>
              <w:tr2bl w:val="nil"/>
            </w:tcBorders>
            <w:shd w:val="clear" w:color="auto" w:fill="FFFFFF"/>
            <w:vAlign w:val="center"/>
          </w:tcPr>
          <w:p w14:paraId="6914C8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21.1875350</w:t>
            </w:r>
          </w:p>
        </w:tc>
        <w:tc>
          <w:tcPr>
            <w:tcW w:w="1720" w:type="dxa"/>
            <w:tcBorders>
              <w:tl2br w:val="nil"/>
              <w:tr2bl w:val="nil"/>
            </w:tcBorders>
            <w:shd w:val="clear" w:color="auto" w:fill="FFFFFF"/>
            <w:vAlign w:val="center"/>
          </w:tcPr>
          <w:p w14:paraId="3A9E1E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110.4136250</w:t>
            </w:r>
          </w:p>
        </w:tc>
      </w:tr>
      <w:tr w14:paraId="486E0C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965" w:type="dxa"/>
            <w:tcBorders>
              <w:tl2br w:val="nil"/>
              <w:tr2bl w:val="nil"/>
            </w:tcBorders>
            <w:shd w:val="clear" w:color="auto" w:fill="FFFFFF"/>
            <w:vAlign w:val="center"/>
          </w:tcPr>
          <w:p w14:paraId="05BA2C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lang w:val="en-US" w:eastAsia="zh-CN"/>
              </w:rPr>
              <w:t>S6</w:t>
            </w:r>
          </w:p>
        </w:tc>
        <w:tc>
          <w:tcPr>
            <w:tcW w:w="1841" w:type="dxa"/>
            <w:tcBorders>
              <w:tl2br w:val="nil"/>
              <w:tr2bl w:val="nil"/>
            </w:tcBorders>
            <w:shd w:val="clear" w:color="auto" w:fill="FFFFFF"/>
            <w:vAlign w:val="center"/>
          </w:tcPr>
          <w:p w14:paraId="5E30FB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lang w:eastAsia="zh-CN"/>
              </w:rPr>
              <w:t>21.1965900</w:t>
            </w:r>
          </w:p>
        </w:tc>
        <w:tc>
          <w:tcPr>
            <w:tcW w:w="1634" w:type="dxa"/>
            <w:tcBorders>
              <w:tl2br w:val="nil"/>
              <w:tr2bl w:val="nil"/>
            </w:tcBorders>
            <w:shd w:val="clear" w:color="auto" w:fill="FFFFFF"/>
            <w:vAlign w:val="center"/>
          </w:tcPr>
          <w:p w14:paraId="06F2E6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lang w:eastAsia="zh-CN"/>
              </w:rPr>
              <w:t>110.4166530</w:t>
            </w:r>
          </w:p>
        </w:tc>
        <w:tc>
          <w:tcPr>
            <w:tcW w:w="1116" w:type="dxa"/>
            <w:tcBorders>
              <w:tl2br w:val="nil"/>
              <w:tr2bl w:val="nil"/>
            </w:tcBorders>
            <w:shd w:val="clear" w:color="auto" w:fill="FFFFFF"/>
            <w:vAlign w:val="center"/>
          </w:tcPr>
          <w:p w14:paraId="56DF77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S30</w:t>
            </w:r>
          </w:p>
        </w:tc>
        <w:tc>
          <w:tcPr>
            <w:tcW w:w="1734" w:type="dxa"/>
            <w:tcBorders>
              <w:tl2br w:val="nil"/>
              <w:tr2bl w:val="nil"/>
            </w:tcBorders>
            <w:shd w:val="clear" w:color="auto" w:fill="FFFFFF"/>
            <w:vAlign w:val="center"/>
          </w:tcPr>
          <w:p w14:paraId="67D4E4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21.1875570</w:t>
            </w:r>
          </w:p>
        </w:tc>
        <w:tc>
          <w:tcPr>
            <w:tcW w:w="1720" w:type="dxa"/>
            <w:tcBorders>
              <w:tl2br w:val="nil"/>
              <w:tr2bl w:val="nil"/>
            </w:tcBorders>
            <w:shd w:val="clear" w:color="auto" w:fill="FFFFFF"/>
            <w:vAlign w:val="center"/>
          </w:tcPr>
          <w:p w14:paraId="328763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110.4136850</w:t>
            </w:r>
          </w:p>
        </w:tc>
      </w:tr>
      <w:tr w14:paraId="714732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965" w:type="dxa"/>
            <w:tcBorders>
              <w:tl2br w:val="nil"/>
              <w:tr2bl w:val="nil"/>
            </w:tcBorders>
            <w:shd w:val="clear" w:color="auto" w:fill="FFFFFF"/>
            <w:vAlign w:val="center"/>
          </w:tcPr>
          <w:p w14:paraId="42A675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lang w:val="en-US" w:eastAsia="zh-CN"/>
              </w:rPr>
              <w:t>S7</w:t>
            </w:r>
          </w:p>
        </w:tc>
        <w:tc>
          <w:tcPr>
            <w:tcW w:w="1841" w:type="dxa"/>
            <w:tcBorders>
              <w:tl2br w:val="nil"/>
              <w:tr2bl w:val="nil"/>
            </w:tcBorders>
            <w:shd w:val="clear" w:color="auto" w:fill="FFFFFF"/>
            <w:vAlign w:val="center"/>
          </w:tcPr>
          <w:p w14:paraId="6926DB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lang w:eastAsia="zh-CN"/>
              </w:rPr>
              <w:t>21.1966240</w:t>
            </w:r>
          </w:p>
        </w:tc>
        <w:tc>
          <w:tcPr>
            <w:tcW w:w="1634" w:type="dxa"/>
            <w:tcBorders>
              <w:tl2br w:val="nil"/>
              <w:tr2bl w:val="nil"/>
            </w:tcBorders>
            <w:shd w:val="clear" w:color="auto" w:fill="FFFFFF"/>
            <w:vAlign w:val="center"/>
          </w:tcPr>
          <w:p w14:paraId="1654D5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lang w:eastAsia="zh-CN"/>
              </w:rPr>
              <w:t xml:space="preserve">110.4160500 </w:t>
            </w:r>
          </w:p>
        </w:tc>
        <w:tc>
          <w:tcPr>
            <w:tcW w:w="1116" w:type="dxa"/>
            <w:tcBorders>
              <w:tl2br w:val="nil"/>
              <w:tr2bl w:val="nil"/>
            </w:tcBorders>
            <w:shd w:val="clear" w:color="auto" w:fill="FFFFFF"/>
            <w:vAlign w:val="center"/>
          </w:tcPr>
          <w:p w14:paraId="0BF90C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S31</w:t>
            </w:r>
          </w:p>
        </w:tc>
        <w:tc>
          <w:tcPr>
            <w:tcW w:w="1734" w:type="dxa"/>
            <w:tcBorders>
              <w:tl2br w:val="nil"/>
              <w:tr2bl w:val="nil"/>
            </w:tcBorders>
            <w:shd w:val="clear" w:color="auto" w:fill="FFFFFF"/>
            <w:vAlign w:val="center"/>
          </w:tcPr>
          <w:p w14:paraId="2E4C50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21.1876530</w:t>
            </w:r>
          </w:p>
        </w:tc>
        <w:tc>
          <w:tcPr>
            <w:tcW w:w="1720" w:type="dxa"/>
            <w:tcBorders>
              <w:tl2br w:val="nil"/>
              <w:tr2bl w:val="nil"/>
            </w:tcBorders>
            <w:shd w:val="clear" w:color="auto" w:fill="FFFFFF"/>
            <w:vAlign w:val="center"/>
          </w:tcPr>
          <w:p w14:paraId="116941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110.4137420</w:t>
            </w:r>
          </w:p>
        </w:tc>
      </w:tr>
      <w:tr w14:paraId="2330B2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965" w:type="dxa"/>
            <w:tcBorders>
              <w:tl2br w:val="nil"/>
              <w:tr2bl w:val="nil"/>
            </w:tcBorders>
            <w:shd w:val="clear" w:color="auto" w:fill="FFFFFF"/>
            <w:vAlign w:val="center"/>
          </w:tcPr>
          <w:p w14:paraId="5EDF6A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S8</w:t>
            </w:r>
          </w:p>
        </w:tc>
        <w:tc>
          <w:tcPr>
            <w:tcW w:w="1841" w:type="dxa"/>
            <w:tcBorders>
              <w:tl2br w:val="nil"/>
              <w:tr2bl w:val="nil"/>
            </w:tcBorders>
            <w:shd w:val="clear" w:color="auto" w:fill="FFFFFF"/>
            <w:vAlign w:val="center"/>
          </w:tcPr>
          <w:p w14:paraId="6FEE27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lang w:eastAsia="zh-CN"/>
              </w:rPr>
              <w:t>21.1967210</w:t>
            </w:r>
          </w:p>
        </w:tc>
        <w:tc>
          <w:tcPr>
            <w:tcW w:w="1634" w:type="dxa"/>
            <w:tcBorders>
              <w:tl2br w:val="nil"/>
              <w:tr2bl w:val="nil"/>
            </w:tcBorders>
            <w:shd w:val="clear" w:color="auto" w:fill="FFFFFF"/>
            <w:vAlign w:val="center"/>
          </w:tcPr>
          <w:p w14:paraId="103D19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 xml:space="preserve">110.4160550 </w:t>
            </w:r>
          </w:p>
        </w:tc>
        <w:tc>
          <w:tcPr>
            <w:tcW w:w="1116" w:type="dxa"/>
            <w:tcBorders>
              <w:tl2br w:val="nil"/>
              <w:tr2bl w:val="nil"/>
            </w:tcBorders>
            <w:shd w:val="clear" w:color="auto" w:fill="FFFFFF"/>
            <w:vAlign w:val="center"/>
          </w:tcPr>
          <w:p w14:paraId="67E0FB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S32</w:t>
            </w:r>
          </w:p>
        </w:tc>
        <w:tc>
          <w:tcPr>
            <w:tcW w:w="1734" w:type="dxa"/>
            <w:tcBorders>
              <w:tl2br w:val="nil"/>
              <w:tr2bl w:val="nil"/>
            </w:tcBorders>
            <w:shd w:val="clear" w:color="auto" w:fill="FFFFFF"/>
            <w:vAlign w:val="center"/>
          </w:tcPr>
          <w:p w14:paraId="7D785B0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21.1875910</w:t>
            </w:r>
          </w:p>
        </w:tc>
        <w:tc>
          <w:tcPr>
            <w:tcW w:w="1720" w:type="dxa"/>
            <w:tcBorders>
              <w:tl2br w:val="nil"/>
              <w:tr2bl w:val="nil"/>
            </w:tcBorders>
            <w:shd w:val="clear" w:color="auto" w:fill="FFFFFF"/>
            <w:vAlign w:val="center"/>
          </w:tcPr>
          <w:p w14:paraId="488DA7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110.4138640</w:t>
            </w:r>
          </w:p>
        </w:tc>
      </w:tr>
      <w:tr w14:paraId="02C683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965" w:type="dxa"/>
            <w:tcBorders>
              <w:tl2br w:val="nil"/>
              <w:tr2bl w:val="nil"/>
            </w:tcBorders>
            <w:shd w:val="clear" w:color="auto" w:fill="FFFFFF"/>
            <w:vAlign w:val="center"/>
          </w:tcPr>
          <w:p w14:paraId="7AA54D4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S9</w:t>
            </w:r>
          </w:p>
        </w:tc>
        <w:tc>
          <w:tcPr>
            <w:tcW w:w="1841" w:type="dxa"/>
            <w:tcBorders>
              <w:tl2br w:val="nil"/>
              <w:tr2bl w:val="nil"/>
            </w:tcBorders>
            <w:shd w:val="clear" w:color="auto" w:fill="FFFFFF"/>
            <w:vAlign w:val="center"/>
          </w:tcPr>
          <w:p w14:paraId="4CDAA5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21.1967240</w:t>
            </w:r>
          </w:p>
        </w:tc>
        <w:tc>
          <w:tcPr>
            <w:tcW w:w="1634" w:type="dxa"/>
            <w:tcBorders>
              <w:tl2br w:val="nil"/>
              <w:tr2bl w:val="nil"/>
            </w:tcBorders>
            <w:shd w:val="clear" w:color="auto" w:fill="FFFFFF"/>
            <w:vAlign w:val="center"/>
          </w:tcPr>
          <w:p w14:paraId="0267A9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 xml:space="preserve">110.4156820  </w:t>
            </w:r>
          </w:p>
        </w:tc>
        <w:tc>
          <w:tcPr>
            <w:tcW w:w="1116" w:type="dxa"/>
            <w:tcBorders>
              <w:tl2br w:val="nil"/>
              <w:tr2bl w:val="nil"/>
            </w:tcBorders>
            <w:shd w:val="clear" w:color="auto" w:fill="FFFFFF"/>
            <w:vAlign w:val="center"/>
          </w:tcPr>
          <w:p w14:paraId="0BE7DA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S33</w:t>
            </w:r>
          </w:p>
        </w:tc>
        <w:tc>
          <w:tcPr>
            <w:tcW w:w="1734" w:type="dxa"/>
            <w:tcBorders>
              <w:tl2br w:val="nil"/>
              <w:tr2bl w:val="nil"/>
            </w:tcBorders>
            <w:shd w:val="clear" w:color="auto" w:fill="FFFFFF"/>
            <w:vAlign w:val="center"/>
          </w:tcPr>
          <w:p w14:paraId="74AEA4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21.1870160</w:t>
            </w:r>
          </w:p>
        </w:tc>
        <w:tc>
          <w:tcPr>
            <w:tcW w:w="1720" w:type="dxa"/>
            <w:tcBorders>
              <w:tl2br w:val="nil"/>
              <w:tr2bl w:val="nil"/>
            </w:tcBorders>
            <w:shd w:val="clear" w:color="auto" w:fill="FFFFFF"/>
            <w:vAlign w:val="center"/>
          </w:tcPr>
          <w:p w14:paraId="5523B4E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110.4135160</w:t>
            </w:r>
          </w:p>
        </w:tc>
      </w:tr>
      <w:tr w14:paraId="084668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965" w:type="dxa"/>
            <w:tcBorders>
              <w:tl2br w:val="nil"/>
              <w:tr2bl w:val="nil"/>
            </w:tcBorders>
            <w:shd w:val="clear" w:color="auto" w:fill="FFFFFF"/>
            <w:vAlign w:val="center"/>
          </w:tcPr>
          <w:p w14:paraId="493833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S10</w:t>
            </w:r>
          </w:p>
        </w:tc>
        <w:tc>
          <w:tcPr>
            <w:tcW w:w="1841" w:type="dxa"/>
            <w:tcBorders>
              <w:tl2br w:val="nil"/>
              <w:tr2bl w:val="nil"/>
            </w:tcBorders>
            <w:shd w:val="clear" w:color="auto" w:fill="FFFFFF"/>
            <w:vAlign w:val="center"/>
          </w:tcPr>
          <w:p w14:paraId="04AC8D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21.1965250</w:t>
            </w:r>
          </w:p>
        </w:tc>
        <w:tc>
          <w:tcPr>
            <w:tcW w:w="1634" w:type="dxa"/>
            <w:tcBorders>
              <w:tl2br w:val="nil"/>
              <w:tr2bl w:val="nil"/>
            </w:tcBorders>
            <w:shd w:val="clear" w:color="auto" w:fill="FFFFFF"/>
            <w:vAlign w:val="center"/>
          </w:tcPr>
          <w:p w14:paraId="1288D0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 xml:space="preserve">110.4156830  </w:t>
            </w:r>
          </w:p>
        </w:tc>
        <w:tc>
          <w:tcPr>
            <w:tcW w:w="1116" w:type="dxa"/>
            <w:tcBorders>
              <w:tl2br w:val="nil"/>
              <w:tr2bl w:val="nil"/>
            </w:tcBorders>
            <w:shd w:val="clear" w:color="auto" w:fill="FFFFFF"/>
            <w:vAlign w:val="center"/>
          </w:tcPr>
          <w:p w14:paraId="1A7AC7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S34</w:t>
            </w:r>
          </w:p>
        </w:tc>
        <w:tc>
          <w:tcPr>
            <w:tcW w:w="1734" w:type="dxa"/>
            <w:tcBorders>
              <w:tl2br w:val="nil"/>
              <w:tr2bl w:val="nil"/>
            </w:tcBorders>
            <w:shd w:val="clear" w:color="auto" w:fill="FFFFFF"/>
            <w:vAlign w:val="center"/>
          </w:tcPr>
          <w:p w14:paraId="429956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21.1870620</w:t>
            </w:r>
          </w:p>
        </w:tc>
        <w:tc>
          <w:tcPr>
            <w:tcW w:w="1720" w:type="dxa"/>
            <w:tcBorders>
              <w:tl2br w:val="nil"/>
              <w:tr2bl w:val="nil"/>
            </w:tcBorders>
            <w:shd w:val="clear" w:color="auto" w:fill="FFFFFF"/>
            <w:vAlign w:val="center"/>
          </w:tcPr>
          <w:p w14:paraId="0BEF6E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110.4134050</w:t>
            </w:r>
          </w:p>
        </w:tc>
      </w:tr>
      <w:tr w14:paraId="71419D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965" w:type="dxa"/>
            <w:tcBorders>
              <w:tl2br w:val="nil"/>
              <w:tr2bl w:val="nil"/>
            </w:tcBorders>
            <w:shd w:val="clear" w:color="auto" w:fill="FFFFFF"/>
            <w:vAlign w:val="center"/>
          </w:tcPr>
          <w:p w14:paraId="6AE1A9B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S11</w:t>
            </w:r>
          </w:p>
        </w:tc>
        <w:tc>
          <w:tcPr>
            <w:tcW w:w="1841" w:type="dxa"/>
            <w:tcBorders>
              <w:tl2br w:val="nil"/>
              <w:tr2bl w:val="nil"/>
            </w:tcBorders>
            <w:shd w:val="clear" w:color="auto" w:fill="FFFFFF"/>
            <w:vAlign w:val="center"/>
          </w:tcPr>
          <w:p w14:paraId="699086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21.1966340</w:t>
            </w:r>
          </w:p>
        </w:tc>
        <w:tc>
          <w:tcPr>
            <w:tcW w:w="1634" w:type="dxa"/>
            <w:tcBorders>
              <w:tl2br w:val="nil"/>
              <w:tr2bl w:val="nil"/>
            </w:tcBorders>
            <w:shd w:val="clear" w:color="auto" w:fill="FFFFFF"/>
            <w:vAlign w:val="center"/>
          </w:tcPr>
          <w:p w14:paraId="5DA4C4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110.4153810</w:t>
            </w:r>
          </w:p>
        </w:tc>
        <w:tc>
          <w:tcPr>
            <w:tcW w:w="1116" w:type="dxa"/>
            <w:tcBorders>
              <w:tl2br w:val="nil"/>
              <w:tr2bl w:val="nil"/>
            </w:tcBorders>
            <w:shd w:val="clear" w:color="auto" w:fill="FFFFFF"/>
            <w:vAlign w:val="center"/>
          </w:tcPr>
          <w:p w14:paraId="226816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S35</w:t>
            </w:r>
          </w:p>
        </w:tc>
        <w:tc>
          <w:tcPr>
            <w:tcW w:w="1734" w:type="dxa"/>
            <w:tcBorders>
              <w:tl2br w:val="nil"/>
              <w:tr2bl w:val="nil"/>
            </w:tcBorders>
            <w:shd w:val="clear" w:color="auto" w:fill="FFFFFF"/>
            <w:vAlign w:val="center"/>
          </w:tcPr>
          <w:p w14:paraId="79E954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21.1874210</w:t>
            </w:r>
          </w:p>
        </w:tc>
        <w:tc>
          <w:tcPr>
            <w:tcW w:w="1720" w:type="dxa"/>
            <w:tcBorders>
              <w:tl2br w:val="nil"/>
              <w:tr2bl w:val="nil"/>
            </w:tcBorders>
            <w:shd w:val="clear" w:color="auto" w:fill="FFFFFF"/>
            <w:vAlign w:val="center"/>
          </w:tcPr>
          <w:p w14:paraId="1B12C2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110.4135980</w:t>
            </w:r>
          </w:p>
        </w:tc>
      </w:tr>
      <w:tr w14:paraId="6B7FCD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965" w:type="dxa"/>
            <w:tcBorders>
              <w:tl2br w:val="nil"/>
              <w:tr2bl w:val="nil"/>
            </w:tcBorders>
            <w:shd w:val="clear" w:color="auto" w:fill="FFFFFF"/>
            <w:vAlign w:val="center"/>
          </w:tcPr>
          <w:p w14:paraId="051241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S12</w:t>
            </w:r>
          </w:p>
        </w:tc>
        <w:tc>
          <w:tcPr>
            <w:tcW w:w="1841" w:type="dxa"/>
            <w:tcBorders>
              <w:tl2br w:val="nil"/>
              <w:tr2bl w:val="nil"/>
            </w:tcBorders>
            <w:shd w:val="clear" w:color="auto" w:fill="FFFFFF"/>
            <w:vAlign w:val="center"/>
          </w:tcPr>
          <w:p w14:paraId="5B9F0B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21.1952110</w:t>
            </w:r>
          </w:p>
        </w:tc>
        <w:tc>
          <w:tcPr>
            <w:tcW w:w="1634" w:type="dxa"/>
            <w:tcBorders>
              <w:tl2br w:val="nil"/>
              <w:tr2bl w:val="nil"/>
            </w:tcBorders>
            <w:shd w:val="clear" w:color="auto" w:fill="FFFFFF"/>
            <w:vAlign w:val="center"/>
          </w:tcPr>
          <w:p w14:paraId="64DB94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110.4154060</w:t>
            </w:r>
          </w:p>
        </w:tc>
        <w:tc>
          <w:tcPr>
            <w:tcW w:w="1116" w:type="dxa"/>
            <w:tcBorders>
              <w:tl2br w:val="nil"/>
              <w:tr2bl w:val="nil"/>
            </w:tcBorders>
            <w:shd w:val="clear" w:color="auto" w:fill="FFFFFF"/>
            <w:vAlign w:val="center"/>
          </w:tcPr>
          <w:p w14:paraId="784554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S36</w:t>
            </w:r>
          </w:p>
        </w:tc>
        <w:tc>
          <w:tcPr>
            <w:tcW w:w="1734" w:type="dxa"/>
            <w:tcBorders>
              <w:tl2br w:val="nil"/>
              <w:tr2bl w:val="nil"/>
            </w:tcBorders>
            <w:shd w:val="clear" w:color="auto" w:fill="FFFFFF"/>
            <w:vAlign w:val="center"/>
          </w:tcPr>
          <w:p w14:paraId="143D26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21.1876960</w:t>
            </w:r>
          </w:p>
        </w:tc>
        <w:tc>
          <w:tcPr>
            <w:tcW w:w="1720" w:type="dxa"/>
            <w:tcBorders>
              <w:tl2br w:val="nil"/>
              <w:tr2bl w:val="nil"/>
            </w:tcBorders>
            <w:shd w:val="clear" w:color="auto" w:fill="FFFFFF"/>
            <w:vAlign w:val="center"/>
          </w:tcPr>
          <w:p w14:paraId="1F4AF1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110.4130910</w:t>
            </w:r>
          </w:p>
        </w:tc>
      </w:tr>
      <w:tr w14:paraId="434E51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965" w:type="dxa"/>
            <w:tcBorders>
              <w:tl2br w:val="nil"/>
              <w:tr2bl w:val="nil"/>
            </w:tcBorders>
            <w:shd w:val="clear" w:color="auto" w:fill="FFFFFF"/>
            <w:vAlign w:val="center"/>
          </w:tcPr>
          <w:p w14:paraId="546FB5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S13</w:t>
            </w:r>
          </w:p>
        </w:tc>
        <w:tc>
          <w:tcPr>
            <w:tcW w:w="1841" w:type="dxa"/>
            <w:tcBorders>
              <w:tl2br w:val="nil"/>
              <w:tr2bl w:val="nil"/>
            </w:tcBorders>
            <w:shd w:val="clear" w:color="auto" w:fill="FFFFFF"/>
            <w:vAlign w:val="center"/>
          </w:tcPr>
          <w:p w14:paraId="269497D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21.1948820</w:t>
            </w:r>
          </w:p>
        </w:tc>
        <w:tc>
          <w:tcPr>
            <w:tcW w:w="1634" w:type="dxa"/>
            <w:tcBorders>
              <w:tl2br w:val="nil"/>
              <w:tr2bl w:val="nil"/>
            </w:tcBorders>
            <w:shd w:val="clear" w:color="auto" w:fill="FFFFFF"/>
            <w:vAlign w:val="center"/>
          </w:tcPr>
          <w:p w14:paraId="4C4034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110.4152720</w:t>
            </w:r>
          </w:p>
        </w:tc>
        <w:tc>
          <w:tcPr>
            <w:tcW w:w="1116" w:type="dxa"/>
            <w:tcBorders>
              <w:tl2br w:val="nil"/>
              <w:tr2bl w:val="nil"/>
            </w:tcBorders>
            <w:shd w:val="clear" w:color="auto" w:fill="FFFFFF"/>
            <w:vAlign w:val="center"/>
          </w:tcPr>
          <w:p w14:paraId="27C0E0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S37</w:t>
            </w:r>
          </w:p>
        </w:tc>
        <w:tc>
          <w:tcPr>
            <w:tcW w:w="1734" w:type="dxa"/>
            <w:tcBorders>
              <w:tl2br w:val="nil"/>
              <w:tr2bl w:val="nil"/>
            </w:tcBorders>
            <w:shd w:val="clear" w:color="auto" w:fill="FFFFFF"/>
            <w:vAlign w:val="center"/>
          </w:tcPr>
          <w:p w14:paraId="7CA260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21.1874360</w:t>
            </w:r>
          </w:p>
        </w:tc>
        <w:tc>
          <w:tcPr>
            <w:tcW w:w="1720" w:type="dxa"/>
            <w:tcBorders>
              <w:tl2br w:val="nil"/>
              <w:tr2bl w:val="nil"/>
            </w:tcBorders>
            <w:shd w:val="clear" w:color="auto" w:fill="FFFFFF"/>
            <w:vAlign w:val="center"/>
          </w:tcPr>
          <w:p w14:paraId="56F1DC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110.4125990</w:t>
            </w:r>
          </w:p>
        </w:tc>
      </w:tr>
      <w:tr w14:paraId="786E74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965" w:type="dxa"/>
            <w:tcBorders>
              <w:tl2br w:val="nil"/>
              <w:tr2bl w:val="nil"/>
            </w:tcBorders>
            <w:shd w:val="clear" w:color="auto" w:fill="FFFFFF"/>
            <w:vAlign w:val="center"/>
          </w:tcPr>
          <w:p w14:paraId="5892A2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S14</w:t>
            </w:r>
          </w:p>
        </w:tc>
        <w:tc>
          <w:tcPr>
            <w:tcW w:w="1841" w:type="dxa"/>
            <w:tcBorders>
              <w:tl2br w:val="nil"/>
              <w:tr2bl w:val="nil"/>
            </w:tcBorders>
            <w:shd w:val="clear" w:color="auto" w:fill="FFFFFF"/>
            <w:vAlign w:val="center"/>
          </w:tcPr>
          <w:p w14:paraId="24F132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21.1948760</w:t>
            </w:r>
          </w:p>
        </w:tc>
        <w:tc>
          <w:tcPr>
            <w:tcW w:w="1634" w:type="dxa"/>
            <w:tcBorders>
              <w:tl2br w:val="nil"/>
              <w:tr2bl w:val="nil"/>
            </w:tcBorders>
            <w:shd w:val="clear" w:color="auto" w:fill="FFFFFF"/>
            <w:vAlign w:val="center"/>
          </w:tcPr>
          <w:p w14:paraId="431624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 xml:space="preserve">110.4150950 </w:t>
            </w:r>
          </w:p>
        </w:tc>
        <w:tc>
          <w:tcPr>
            <w:tcW w:w="1116" w:type="dxa"/>
            <w:tcBorders>
              <w:tl2br w:val="nil"/>
              <w:tr2bl w:val="nil"/>
            </w:tcBorders>
            <w:shd w:val="clear" w:color="auto" w:fill="FFFFFF"/>
            <w:vAlign w:val="center"/>
          </w:tcPr>
          <w:p w14:paraId="5AC56E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S38</w:t>
            </w:r>
          </w:p>
        </w:tc>
        <w:tc>
          <w:tcPr>
            <w:tcW w:w="1734" w:type="dxa"/>
            <w:tcBorders>
              <w:tl2br w:val="nil"/>
              <w:tr2bl w:val="nil"/>
            </w:tcBorders>
            <w:shd w:val="clear" w:color="auto" w:fill="FFFFFF"/>
            <w:vAlign w:val="center"/>
          </w:tcPr>
          <w:p w14:paraId="73FA6E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21.1865090</w:t>
            </w:r>
          </w:p>
        </w:tc>
        <w:tc>
          <w:tcPr>
            <w:tcW w:w="1720" w:type="dxa"/>
            <w:tcBorders>
              <w:tl2br w:val="nil"/>
              <w:tr2bl w:val="nil"/>
            </w:tcBorders>
            <w:shd w:val="clear" w:color="auto" w:fill="FFFFFF"/>
            <w:vAlign w:val="center"/>
          </w:tcPr>
          <w:p w14:paraId="242D06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110.4121270</w:t>
            </w:r>
          </w:p>
        </w:tc>
      </w:tr>
      <w:tr w14:paraId="676ACC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965" w:type="dxa"/>
            <w:tcBorders>
              <w:tl2br w:val="nil"/>
              <w:tr2bl w:val="nil"/>
            </w:tcBorders>
            <w:shd w:val="clear" w:color="auto" w:fill="FFFFFF"/>
            <w:vAlign w:val="center"/>
          </w:tcPr>
          <w:p w14:paraId="722C13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S15</w:t>
            </w:r>
          </w:p>
        </w:tc>
        <w:tc>
          <w:tcPr>
            <w:tcW w:w="1841" w:type="dxa"/>
            <w:tcBorders>
              <w:tl2br w:val="nil"/>
              <w:tr2bl w:val="nil"/>
            </w:tcBorders>
            <w:shd w:val="clear" w:color="auto" w:fill="FFFFFF"/>
            <w:vAlign w:val="center"/>
          </w:tcPr>
          <w:p w14:paraId="11E869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21.1943560</w:t>
            </w:r>
          </w:p>
        </w:tc>
        <w:tc>
          <w:tcPr>
            <w:tcW w:w="1634" w:type="dxa"/>
            <w:tcBorders>
              <w:tl2br w:val="nil"/>
              <w:tr2bl w:val="nil"/>
            </w:tcBorders>
            <w:shd w:val="clear" w:color="auto" w:fill="FFFFFF"/>
            <w:vAlign w:val="center"/>
          </w:tcPr>
          <w:p w14:paraId="32B34E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110.4150710</w:t>
            </w:r>
          </w:p>
        </w:tc>
        <w:tc>
          <w:tcPr>
            <w:tcW w:w="1116" w:type="dxa"/>
            <w:tcBorders>
              <w:tl2br w:val="nil"/>
              <w:tr2bl w:val="nil"/>
            </w:tcBorders>
            <w:shd w:val="clear" w:color="auto" w:fill="FFFFFF"/>
            <w:vAlign w:val="center"/>
          </w:tcPr>
          <w:p w14:paraId="1E3B2E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S39</w:t>
            </w:r>
          </w:p>
        </w:tc>
        <w:tc>
          <w:tcPr>
            <w:tcW w:w="1734" w:type="dxa"/>
            <w:tcBorders>
              <w:tl2br w:val="nil"/>
              <w:tr2bl w:val="nil"/>
            </w:tcBorders>
            <w:shd w:val="clear" w:color="auto" w:fill="FFFFFF"/>
            <w:vAlign w:val="center"/>
          </w:tcPr>
          <w:p w14:paraId="2DFE1A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21.1869150</w:t>
            </w:r>
          </w:p>
        </w:tc>
        <w:tc>
          <w:tcPr>
            <w:tcW w:w="1720" w:type="dxa"/>
            <w:tcBorders>
              <w:tl2br w:val="nil"/>
              <w:tr2bl w:val="nil"/>
            </w:tcBorders>
            <w:shd w:val="clear" w:color="auto" w:fill="FFFFFF"/>
            <w:vAlign w:val="center"/>
          </w:tcPr>
          <w:p w14:paraId="4FD268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110.4108040</w:t>
            </w:r>
          </w:p>
        </w:tc>
      </w:tr>
      <w:tr w14:paraId="5D685B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965" w:type="dxa"/>
            <w:tcBorders>
              <w:tl2br w:val="nil"/>
              <w:tr2bl w:val="nil"/>
            </w:tcBorders>
            <w:shd w:val="clear" w:color="auto" w:fill="FFFFFF"/>
            <w:vAlign w:val="center"/>
          </w:tcPr>
          <w:p w14:paraId="4BAF96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S16</w:t>
            </w:r>
          </w:p>
        </w:tc>
        <w:tc>
          <w:tcPr>
            <w:tcW w:w="1841" w:type="dxa"/>
            <w:tcBorders>
              <w:tl2br w:val="nil"/>
              <w:tr2bl w:val="nil"/>
            </w:tcBorders>
            <w:shd w:val="clear" w:color="auto" w:fill="FFFFFF"/>
            <w:vAlign w:val="center"/>
          </w:tcPr>
          <w:p w14:paraId="4D5DDE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21.1939100</w:t>
            </w:r>
          </w:p>
        </w:tc>
        <w:tc>
          <w:tcPr>
            <w:tcW w:w="1634" w:type="dxa"/>
            <w:tcBorders>
              <w:tl2br w:val="nil"/>
              <w:tr2bl w:val="nil"/>
            </w:tcBorders>
            <w:shd w:val="clear" w:color="auto" w:fill="FFFFFF"/>
            <w:vAlign w:val="center"/>
          </w:tcPr>
          <w:p w14:paraId="4297A9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110.4149340</w:t>
            </w:r>
          </w:p>
        </w:tc>
        <w:tc>
          <w:tcPr>
            <w:tcW w:w="1116" w:type="dxa"/>
            <w:tcBorders>
              <w:tl2br w:val="nil"/>
              <w:tr2bl w:val="nil"/>
            </w:tcBorders>
            <w:shd w:val="clear" w:color="auto" w:fill="FFFFFF"/>
            <w:vAlign w:val="center"/>
          </w:tcPr>
          <w:p w14:paraId="3C3837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S40</w:t>
            </w:r>
          </w:p>
        </w:tc>
        <w:tc>
          <w:tcPr>
            <w:tcW w:w="1734" w:type="dxa"/>
            <w:tcBorders>
              <w:tl2br w:val="nil"/>
              <w:tr2bl w:val="nil"/>
            </w:tcBorders>
            <w:shd w:val="clear" w:color="auto" w:fill="FFFFFF"/>
            <w:vAlign w:val="center"/>
          </w:tcPr>
          <w:p w14:paraId="0937D1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21.1916660</w:t>
            </w:r>
          </w:p>
        </w:tc>
        <w:tc>
          <w:tcPr>
            <w:tcW w:w="1720" w:type="dxa"/>
            <w:tcBorders>
              <w:tl2br w:val="nil"/>
              <w:tr2bl w:val="nil"/>
            </w:tcBorders>
            <w:shd w:val="clear" w:color="auto" w:fill="FFFFFF"/>
            <w:vAlign w:val="center"/>
          </w:tcPr>
          <w:p w14:paraId="089D97E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110.4133200</w:t>
            </w:r>
          </w:p>
        </w:tc>
      </w:tr>
      <w:tr w14:paraId="63F83F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965" w:type="dxa"/>
            <w:tcBorders>
              <w:tl2br w:val="nil"/>
              <w:tr2bl w:val="nil"/>
            </w:tcBorders>
            <w:shd w:val="clear" w:color="auto" w:fill="FFFFFF"/>
            <w:vAlign w:val="center"/>
          </w:tcPr>
          <w:p w14:paraId="38E614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S17</w:t>
            </w:r>
          </w:p>
        </w:tc>
        <w:tc>
          <w:tcPr>
            <w:tcW w:w="1841" w:type="dxa"/>
            <w:tcBorders>
              <w:tl2br w:val="nil"/>
              <w:tr2bl w:val="nil"/>
            </w:tcBorders>
            <w:shd w:val="clear" w:color="auto" w:fill="FFFFFF"/>
            <w:vAlign w:val="center"/>
          </w:tcPr>
          <w:p w14:paraId="2A1B46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21.1922630</w:t>
            </w:r>
          </w:p>
        </w:tc>
        <w:tc>
          <w:tcPr>
            <w:tcW w:w="1634" w:type="dxa"/>
            <w:tcBorders>
              <w:tl2br w:val="nil"/>
              <w:tr2bl w:val="nil"/>
            </w:tcBorders>
            <w:shd w:val="clear" w:color="auto" w:fill="FFFFFF"/>
            <w:vAlign w:val="center"/>
          </w:tcPr>
          <w:p w14:paraId="3D2AA0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110.4148910</w:t>
            </w:r>
          </w:p>
        </w:tc>
        <w:tc>
          <w:tcPr>
            <w:tcW w:w="1116" w:type="dxa"/>
            <w:tcBorders>
              <w:tl2br w:val="nil"/>
              <w:tr2bl w:val="nil"/>
            </w:tcBorders>
            <w:shd w:val="clear" w:color="auto" w:fill="FFFFFF"/>
            <w:vAlign w:val="center"/>
          </w:tcPr>
          <w:p w14:paraId="39E52F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S41</w:t>
            </w:r>
          </w:p>
        </w:tc>
        <w:tc>
          <w:tcPr>
            <w:tcW w:w="1734" w:type="dxa"/>
            <w:tcBorders>
              <w:tl2br w:val="nil"/>
              <w:tr2bl w:val="nil"/>
            </w:tcBorders>
            <w:shd w:val="clear" w:color="auto" w:fill="FFFFFF"/>
            <w:vAlign w:val="center"/>
          </w:tcPr>
          <w:p w14:paraId="319079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 xml:space="preserve">21.1919060 </w:t>
            </w:r>
          </w:p>
        </w:tc>
        <w:tc>
          <w:tcPr>
            <w:tcW w:w="1720" w:type="dxa"/>
            <w:tcBorders>
              <w:tl2br w:val="nil"/>
              <w:tr2bl w:val="nil"/>
            </w:tcBorders>
            <w:shd w:val="clear" w:color="auto" w:fill="FFFFFF"/>
            <w:vAlign w:val="center"/>
          </w:tcPr>
          <w:p w14:paraId="32386F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110.4135770</w:t>
            </w:r>
          </w:p>
        </w:tc>
      </w:tr>
      <w:tr w14:paraId="4C3915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965" w:type="dxa"/>
            <w:tcBorders>
              <w:tl2br w:val="nil"/>
              <w:tr2bl w:val="nil"/>
            </w:tcBorders>
            <w:shd w:val="clear" w:color="auto" w:fill="FFFFFF"/>
            <w:vAlign w:val="center"/>
          </w:tcPr>
          <w:p w14:paraId="36BC43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S18</w:t>
            </w:r>
          </w:p>
        </w:tc>
        <w:tc>
          <w:tcPr>
            <w:tcW w:w="1841" w:type="dxa"/>
            <w:tcBorders>
              <w:tl2br w:val="nil"/>
              <w:tr2bl w:val="nil"/>
            </w:tcBorders>
            <w:shd w:val="clear" w:color="auto" w:fill="FFFFFF"/>
            <w:vAlign w:val="center"/>
          </w:tcPr>
          <w:p w14:paraId="1D8316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eastAsia="zh-CN"/>
              </w:rPr>
              <w:t>21.1922430</w:t>
            </w:r>
          </w:p>
        </w:tc>
        <w:tc>
          <w:tcPr>
            <w:tcW w:w="1634" w:type="dxa"/>
            <w:tcBorders>
              <w:tl2br w:val="nil"/>
              <w:tr2bl w:val="nil"/>
            </w:tcBorders>
            <w:shd w:val="clear" w:color="auto" w:fill="FFFFFF"/>
            <w:vAlign w:val="center"/>
          </w:tcPr>
          <w:p w14:paraId="059014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110.4150990</w:t>
            </w:r>
          </w:p>
        </w:tc>
        <w:tc>
          <w:tcPr>
            <w:tcW w:w="1116" w:type="dxa"/>
            <w:tcBorders>
              <w:tl2br w:val="nil"/>
              <w:tr2bl w:val="nil"/>
            </w:tcBorders>
            <w:shd w:val="clear" w:color="auto" w:fill="FFFFFF"/>
            <w:vAlign w:val="center"/>
          </w:tcPr>
          <w:p w14:paraId="0CFAB7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S42</w:t>
            </w:r>
          </w:p>
        </w:tc>
        <w:tc>
          <w:tcPr>
            <w:tcW w:w="1734" w:type="dxa"/>
            <w:tcBorders>
              <w:tl2br w:val="nil"/>
              <w:tr2bl w:val="nil"/>
            </w:tcBorders>
            <w:shd w:val="clear" w:color="auto" w:fill="FFFFFF"/>
            <w:vAlign w:val="center"/>
          </w:tcPr>
          <w:p w14:paraId="0A2BA2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21.1924960</w:t>
            </w:r>
          </w:p>
        </w:tc>
        <w:tc>
          <w:tcPr>
            <w:tcW w:w="1720" w:type="dxa"/>
            <w:tcBorders>
              <w:tl2br w:val="nil"/>
              <w:tr2bl w:val="nil"/>
            </w:tcBorders>
            <w:shd w:val="clear" w:color="auto" w:fill="FFFFFF"/>
            <w:vAlign w:val="center"/>
          </w:tcPr>
          <w:p w14:paraId="14F26A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110.4136100</w:t>
            </w:r>
          </w:p>
        </w:tc>
      </w:tr>
      <w:tr w14:paraId="1501C9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965" w:type="dxa"/>
            <w:tcBorders>
              <w:tl2br w:val="nil"/>
              <w:tr2bl w:val="nil"/>
            </w:tcBorders>
            <w:shd w:val="clear" w:color="auto" w:fill="FFFFFF"/>
            <w:vAlign w:val="center"/>
          </w:tcPr>
          <w:p w14:paraId="39E899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S19</w:t>
            </w:r>
          </w:p>
        </w:tc>
        <w:tc>
          <w:tcPr>
            <w:tcW w:w="1841" w:type="dxa"/>
            <w:tcBorders>
              <w:tl2br w:val="nil"/>
              <w:tr2bl w:val="nil"/>
            </w:tcBorders>
            <w:shd w:val="clear" w:color="auto" w:fill="FFFFFF"/>
            <w:vAlign w:val="center"/>
          </w:tcPr>
          <w:p w14:paraId="7F0BDDD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21.1919030</w:t>
            </w:r>
          </w:p>
        </w:tc>
        <w:tc>
          <w:tcPr>
            <w:tcW w:w="1634" w:type="dxa"/>
            <w:tcBorders>
              <w:tl2br w:val="nil"/>
              <w:tr2bl w:val="nil"/>
            </w:tcBorders>
            <w:shd w:val="clear" w:color="auto" w:fill="FFFFFF"/>
            <w:vAlign w:val="center"/>
          </w:tcPr>
          <w:p w14:paraId="7E55E2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110.4150840</w:t>
            </w:r>
          </w:p>
        </w:tc>
        <w:tc>
          <w:tcPr>
            <w:tcW w:w="1116" w:type="dxa"/>
            <w:tcBorders>
              <w:tl2br w:val="nil"/>
              <w:tr2bl w:val="nil"/>
            </w:tcBorders>
            <w:shd w:val="clear" w:color="auto" w:fill="FFFFFF"/>
            <w:vAlign w:val="center"/>
          </w:tcPr>
          <w:p w14:paraId="62D383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S43</w:t>
            </w:r>
          </w:p>
        </w:tc>
        <w:tc>
          <w:tcPr>
            <w:tcW w:w="1734" w:type="dxa"/>
            <w:tcBorders>
              <w:tl2br w:val="nil"/>
              <w:tr2bl w:val="nil"/>
            </w:tcBorders>
            <w:shd w:val="clear" w:color="auto" w:fill="FFFFFF"/>
            <w:vAlign w:val="center"/>
          </w:tcPr>
          <w:p w14:paraId="1BDE99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21.1928370</w:t>
            </w:r>
          </w:p>
        </w:tc>
        <w:tc>
          <w:tcPr>
            <w:tcW w:w="1720" w:type="dxa"/>
            <w:tcBorders>
              <w:tl2br w:val="nil"/>
              <w:tr2bl w:val="nil"/>
            </w:tcBorders>
            <w:shd w:val="clear" w:color="auto" w:fill="FFFFFF"/>
            <w:vAlign w:val="center"/>
          </w:tcPr>
          <w:p w14:paraId="691EB8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110.4140920</w:t>
            </w:r>
          </w:p>
        </w:tc>
      </w:tr>
      <w:tr w14:paraId="116394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965" w:type="dxa"/>
            <w:tcBorders>
              <w:tl2br w:val="nil"/>
              <w:tr2bl w:val="nil"/>
            </w:tcBorders>
            <w:shd w:val="clear" w:color="auto" w:fill="FFFFFF"/>
            <w:vAlign w:val="center"/>
          </w:tcPr>
          <w:p w14:paraId="538D24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S20</w:t>
            </w:r>
          </w:p>
        </w:tc>
        <w:tc>
          <w:tcPr>
            <w:tcW w:w="1841" w:type="dxa"/>
            <w:tcBorders>
              <w:tl2br w:val="nil"/>
              <w:tr2bl w:val="nil"/>
            </w:tcBorders>
            <w:shd w:val="clear" w:color="auto" w:fill="FFFFFF"/>
            <w:vAlign w:val="center"/>
          </w:tcPr>
          <w:p w14:paraId="325918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21.1918980</w:t>
            </w:r>
          </w:p>
        </w:tc>
        <w:tc>
          <w:tcPr>
            <w:tcW w:w="1634" w:type="dxa"/>
            <w:tcBorders>
              <w:tl2br w:val="nil"/>
              <w:tr2bl w:val="nil"/>
            </w:tcBorders>
            <w:shd w:val="clear" w:color="auto" w:fill="FFFFFF"/>
            <w:vAlign w:val="center"/>
          </w:tcPr>
          <w:p w14:paraId="56D04A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110.4149300</w:t>
            </w:r>
          </w:p>
        </w:tc>
        <w:tc>
          <w:tcPr>
            <w:tcW w:w="1116" w:type="dxa"/>
            <w:tcBorders>
              <w:tl2br w:val="nil"/>
              <w:tr2bl w:val="nil"/>
            </w:tcBorders>
            <w:shd w:val="clear" w:color="auto" w:fill="FFFFFF"/>
            <w:vAlign w:val="center"/>
          </w:tcPr>
          <w:p w14:paraId="528107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S44</w:t>
            </w:r>
          </w:p>
        </w:tc>
        <w:tc>
          <w:tcPr>
            <w:tcW w:w="1734" w:type="dxa"/>
            <w:tcBorders>
              <w:tl2br w:val="nil"/>
              <w:tr2bl w:val="nil"/>
            </w:tcBorders>
            <w:shd w:val="clear" w:color="auto" w:fill="FFFFFF"/>
            <w:vAlign w:val="center"/>
          </w:tcPr>
          <w:p w14:paraId="278C95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21.1936970</w:t>
            </w:r>
          </w:p>
        </w:tc>
        <w:tc>
          <w:tcPr>
            <w:tcW w:w="1720" w:type="dxa"/>
            <w:tcBorders>
              <w:tl2br w:val="nil"/>
              <w:tr2bl w:val="nil"/>
            </w:tcBorders>
            <w:shd w:val="clear" w:color="auto" w:fill="FFFFFF"/>
            <w:vAlign w:val="center"/>
          </w:tcPr>
          <w:p w14:paraId="3FFD2F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110.4141350</w:t>
            </w:r>
          </w:p>
        </w:tc>
      </w:tr>
      <w:tr w14:paraId="7270BA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965" w:type="dxa"/>
            <w:tcBorders>
              <w:tl2br w:val="nil"/>
              <w:tr2bl w:val="nil"/>
            </w:tcBorders>
            <w:shd w:val="clear" w:color="auto" w:fill="FFFFFF"/>
            <w:vAlign w:val="center"/>
          </w:tcPr>
          <w:p w14:paraId="5BD6CE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S21</w:t>
            </w:r>
          </w:p>
        </w:tc>
        <w:tc>
          <w:tcPr>
            <w:tcW w:w="1841" w:type="dxa"/>
            <w:tcBorders>
              <w:tl2br w:val="nil"/>
              <w:tr2bl w:val="nil"/>
            </w:tcBorders>
            <w:shd w:val="clear" w:color="auto" w:fill="FFFFFF"/>
            <w:vAlign w:val="center"/>
          </w:tcPr>
          <w:p w14:paraId="76A745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21.1917860</w:t>
            </w:r>
          </w:p>
        </w:tc>
        <w:tc>
          <w:tcPr>
            <w:tcW w:w="1634" w:type="dxa"/>
            <w:tcBorders>
              <w:tl2br w:val="nil"/>
              <w:tr2bl w:val="nil"/>
            </w:tcBorders>
            <w:shd w:val="clear" w:color="auto" w:fill="FFFFFF"/>
            <w:vAlign w:val="center"/>
          </w:tcPr>
          <w:p w14:paraId="117732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110.4149310</w:t>
            </w:r>
          </w:p>
        </w:tc>
        <w:tc>
          <w:tcPr>
            <w:tcW w:w="1116" w:type="dxa"/>
            <w:tcBorders>
              <w:tl2br w:val="nil"/>
              <w:tr2bl w:val="nil"/>
            </w:tcBorders>
            <w:shd w:val="clear" w:color="auto" w:fill="FFFFFF"/>
            <w:vAlign w:val="center"/>
          </w:tcPr>
          <w:p w14:paraId="7CB9EA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S45</w:t>
            </w:r>
          </w:p>
        </w:tc>
        <w:tc>
          <w:tcPr>
            <w:tcW w:w="1734" w:type="dxa"/>
            <w:tcBorders>
              <w:tl2br w:val="nil"/>
              <w:tr2bl w:val="nil"/>
            </w:tcBorders>
            <w:shd w:val="clear" w:color="auto" w:fill="FFFFFF"/>
            <w:vAlign w:val="center"/>
          </w:tcPr>
          <w:p w14:paraId="69F17C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21.1937170</w:t>
            </w:r>
          </w:p>
        </w:tc>
        <w:tc>
          <w:tcPr>
            <w:tcW w:w="1720" w:type="dxa"/>
            <w:tcBorders>
              <w:tl2br w:val="nil"/>
              <w:tr2bl w:val="nil"/>
            </w:tcBorders>
            <w:shd w:val="clear" w:color="auto" w:fill="FFFFFF"/>
            <w:vAlign w:val="center"/>
          </w:tcPr>
          <w:p w14:paraId="43C814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110.4145220</w:t>
            </w:r>
          </w:p>
        </w:tc>
      </w:tr>
      <w:tr w14:paraId="47A440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965" w:type="dxa"/>
            <w:tcBorders>
              <w:tl2br w:val="nil"/>
              <w:tr2bl w:val="nil"/>
            </w:tcBorders>
            <w:shd w:val="clear" w:color="auto" w:fill="FFFFFF"/>
            <w:vAlign w:val="center"/>
          </w:tcPr>
          <w:p w14:paraId="525E58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S22</w:t>
            </w:r>
          </w:p>
        </w:tc>
        <w:tc>
          <w:tcPr>
            <w:tcW w:w="1841" w:type="dxa"/>
            <w:tcBorders>
              <w:tl2br w:val="nil"/>
              <w:tr2bl w:val="nil"/>
            </w:tcBorders>
            <w:shd w:val="clear" w:color="auto" w:fill="FFFFFF"/>
            <w:vAlign w:val="center"/>
          </w:tcPr>
          <w:p w14:paraId="13B99A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21.1917370</w:t>
            </w:r>
          </w:p>
        </w:tc>
        <w:tc>
          <w:tcPr>
            <w:tcW w:w="1634" w:type="dxa"/>
            <w:tcBorders>
              <w:tl2br w:val="nil"/>
              <w:tr2bl w:val="nil"/>
            </w:tcBorders>
            <w:shd w:val="clear" w:color="auto" w:fill="FFFFFF"/>
            <w:vAlign w:val="center"/>
          </w:tcPr>
          <w:p w14:paraId="2874DB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110.4152010</w:t>
            </w:r>
          </w:p>
        </w:tc>
        <w:tc>
          <w:tcPr>
            <w:tcW w:w="1116" w:type="dxa"/>
            <w:tcBorders>
              <w:tl2br w:val="nil"/>
              <w:tr2bl w:val="nil"/>
            </w:tcBorders>
            <w:shd w:val="clear" w:color="auto" w:fill="FFFFFF"/>
            <w:vAlign w:val="center"/>
          </w:tcPr>
          <w:p w14:paraId="7C0E91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S46</w:t>
            </w:r>
          </w:p>
        </w:tc>
        <w:tc>
          <w:tcPr>
            <w:tcW w:w="1734" w:type="dxa"/>
            <w:tcBorders>
              <w:tl2br w:val="nil"/>
              <w:tr2bl w:val="nil"/>
            </w:tcBorders>
            <w:shd w:val="clear" w:color="auto" w:fill="FFFFFF"/>
            <w:vAlign w:val="center"/>
          </w:tcPr>
          <w:p w14:paraId="712918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21.1954780</w:t>
            </w:r>
          </w:p>
        </w:tc>
        <w:tc>
          <w:tcPr>
            <w:tcW w:w="1720" w:type="dxa"/>
            <w:tcBorders>
              <w:tl2br w:val="nil"/>
              <w:tr2bl w:val="nil"/>
            </w:tcBorders>
            <w:shd w:val="clear" w:color="auto" w:fill="FFFFFF"/>
            <w:vAlign w:val="center"/>
          </w:tcPr>
          <w:p w14:paraId="020F20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110.4148710</w:t>
            </w:r>
          </w:p>
        </w:tc>
      </w:tr>
      <w:tr w14:paraId="18196B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965" w:type="dxa"/>
            <w:tcBorders>
              <w:tl2br w:val="nil"/>
              <w:tr2bl w:val="nil"/>
            </w:tcBorders>
            <w:shd w:val="clear" w:color="auto" w:fill="FFFFFF"/>
            <w:vAlign w:val="center"/>
          </w:tcPr>
          <w:p w14:paraId="60927F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S23</w:t>
            </w:r>
          </w:p>
        </w:tc>
        <w:tc>
          <w:tcPr>
            <w:tcW w:w="1841" w:type="dxa"/>
            <w:tcBorders>
              <w:tl2br w:val="nil"/>
              <w:tr2bl w:val="nil"/>
            </w:tcBorders>
            <w:shd w:val="clear" w:color="auto" w:fill="FFFFFF"/>
            <w:vAlign w:val="center"/>
          </w:tcPr>
          <w:p w14:paraId="02B0BB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21.1911600</w:t>
            </w:r>
          </w:p>
        </w:tc>
        <w:tc>
          <w:tcPr>
            <w:tcW w:w="1634" w:type="dxa"/>
            <w:tcBorders>
              <w:tl2br w:val="nil"/>
              <w:tr2bl w:val="nil"/>
            </w:tcBorders>
            <w:shd w:val="clear" w:color="auto" w:fill="FFFFFF"/>
            <w:vAlign w:val="center"/>
          </w:tcPr>
          <w:p w14:paraId="268901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110.4150670</w:t>
            </w:r>
          </w:p>
        </w:tc>
        <w:tc>
          <w:tcPr>
            <w:tcW w:w="1116" w:type="dxa"/>
            <w:tcBorders>
              <w:tl2br w:val="nil"/>
              <w:tr2bl w:val="nil"/>
            </w:tcBorders>
            <w:shd w:val="clear" w:color="auto" w:fill="FFFFFF"/>
            <w:vAlign w:val="center"/>
          </w:tcPr>
          <w:p w14:paraId="5AA178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S47</w:t>
            </w:r>
          </w:p>
        </w:tc>
        <w:tc>
          <w:tcPr>
            <w:tcW w:w="1734" w:type="dxa"/>
            <w:tcBorders>
              <w:tl2br w:val="nil"/>
              <w:tr2bl w:val="nil"/>
            </w:tcBorders>
            <w:shd w:val="clear" w:color="auto" w:fill="FFFFFF"/>
            <w:vAlign w:val="center"/>
          </w:tcPr>
          <w:p w14:paraId="6E1DFA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21.1955780</w:t>
            </w:r>
          </w:p>
        </w:tc>
        <w:tc>
          <w:tcPr>
            <w:tcW w:w="1720" w:type="dxa"/>
            <w:tcBorders>
              <w:tl2br w:val="nil"/>
              <w:tr2bl w:val="nil"/>
            </w:tcBorders>
            <w:shd w:val="clear" w:color="auto" w:fill="FFFFFF"/>
            <w:vAlign w:val="center"/>
          </w:tcPr>
          <w:p w14:paraId="0A0347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110.4134440</w:t>
            </w:r>
          </w:p>
        </w:tc>
      </w:tr>
      <w:tr w14:paraId="00A20C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965" w:type="dxa"/>
            <w:tcBorders>
              <w:tl2br w:val="nil"/>
              <w:tr2bl w:val="nil"/>
            </w:tcBorders>
            <w:shd w:val="clear" w:color="auto" w:fill="FFFFFF"/>
            <w:vAlign w:val="center"/>
          </w:tcPr>
          <w:p w14:paraId="64286C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S24</w:t>
            </w:r>
          </w:p>
        </w:tc>
        <w:tc>
          <w:tcPr>
            <w:tcW w:w="1841" w:type="dxa"/>
            <w:tcBorders>
              <w:tl2br w:val="nil"/>
              <w:tr2bl w:val="nil"/>
            </w:tcBorders>
            <w:shd w:val="clear" w:color="auto" w:fill="FFFFFF"/>
            <w:vAlign w:val="center"/>
          </w:tcPr>
          <w:p w14:paraId="3EBB98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eastAsia="zh-CN"/>
              </w:rPr>
              <w:t>21.1911880</w:t>
            </w:r>
          </w:p>
        </w:tc>
        <w:tc>
          <w:tcPr>
            <w:tcW w:w="1634" w:type="dxa"/>
            <w:tcBorders>
              <w:tl2br w:val="nil"/>
              <w:tr2bl w:val="nil"/>
            </w:tcBorders>
            <w:shd w:val="clear" w:color="auto" w:fill="FFFFFF"/>
            <w:vAlign w:val="center"/>
          </w:tcPr>
          <w:p w14:paraId="7A2C09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110.4149610</w:t>
            </w:r>
          </w:p>
        </w:tc>
        <w:tc>
          <w:tcPr>
            <w:tcW w:w="1116" w:type="dxa"/>
            <w:tcBorders>
              <w:tl2br w:val="nil"/>
              <w:tr2bl w:val="nil"/>
            </w:tcBorders>
            <w:shd w:val="clear" w:color="auto" w:fill="FFFFFF"/>
            <w:vAlign w:val="center"/>
          </w:tcPr>
          <w:p w14:paraId="3CF1EBC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S48</w:t>
            </w:r>
          </w:p>
        </w:tc>
        <w:tc>
          <w:tcPr>
            <w:tcW w:w="1734" w:type="dxa"/>
            <w:tcBorders>
              <w:tl2br w:val="nil"/>
              <w:tr2bl w:val="nil"/>
            </w:tcBorders>
            <w:shd w:val="clear" w:color="auto" w:fill="FFFFFF"/>
            <w:vAlign w:val="center"/>
          </w:tcPr>
          <w:p w14:paraId="1DF678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21.1966380</w:t>
            </w:r>
          </w:p>
        </w:tc>
        <w:tc>
          <w:tcPr>
            <w:tcW w:w="1720" w:type="dxa"/>
            <w:tcBorders>
              <w:tl2br w:val="nil"/>
              <w:tr2bl w:val="nil"/>
            </w:tcBorders>
            <w:shd w:val="clear" w:color="auto" w:fill="FFFFFF"/>
            <w:vAlign w:val="center"/>
          </w:tcPr>
          <w:p w14:paraId="1507E2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110.4134110</w:t>
            </w:r>
          </w:p>
        </w:tc>
      </w:tr>
    </w:tbl>
    <w:p w14:paraId="2804AB74">
      <w:pPr>
        <w:keepNext w:val="0"/>
        <w:keepLines w:val="0"/>
        <w:pageBreakBefore w:val="0"/>
        <w:kinsoku/>
        <w:wordWrap/>
        <w:overflowPunct/>
        <w:topLinePunct w:val="0"/>
        <w:autoSpaceDE/>
        <w:autoSpaceDN/>
        <w:bidi w:val="0"/>
        <w:adjustRightInd/>
        <w:snapToGrid/>
        <w:spacing w:line="240" w:lineRule="auto"/>
        <w:ind w:firstLine="640"/>
        <w:jc w:val="left"/>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渔港的水域、陆域范围一经确定不得擅自更改</w:t>
      </w:r>
      <w:r>
        <w:rPr>
          <w:rFonts w:hint="eastAsia" w:ascii="仿宋" w:hAnsi="仿宋" w:eastAsia="仿宋" w:cs="仿宋"/>
          <w:color w:val="auto"/>
          <w:sz w:val="32"/>
          <w:szCs w:val="32"/>
          <w:highlight w:val="none"/>
          <w:lang w:eastAsia="zh-CN"/>
        </w:rPr>
        <w:t>。</w:t>
      </w:r>
    </w:p>
    <w:p w14:paraId="7A3E4AC5">
      <w:pPr>
        <w:keepNext w:val="0"/>
        <w:keepLines w:val="0"/>
        <w:pageBreakBefore w:val="0"/>
        <w:kinsoku/>
        <w:wordWrap/>
        <w:overflowPunct/>
        <w:topLinePunct w:val="0"/>
        <w:autoSpaceDE/>
        <w:autoSpaceDN/>
        <w:bidi w:val="0"/>
        <w:adjustRightInd/>
        <w:snapToGrid/>
        <w:spacing w:line="240" w:lineRule="auto"/>
        <w:ind w:firstLine="640"/>
        <w:jc w:val="left"/>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第六条</w:t>
      </w:r>
      <w:r>
        <w:rPr>
          <w:rFonts w:hint="eastAsia" w:ascii="仿宋" w:hAnsi="仿宋" w:eastAsia="仿宋" w:cs="仿宋"/>
          <w:color w:val="auto"/>
          <w:sz w:val="32"/>
          <w:szCs w:val="32"/>
          <w:highlight w:val="none"/>
          <w:lang w:val="en-US" w:eastAsia="zh-CN"/>
        </w:rPr>
        <w:t xml:space="preserve">  湛江港渔业港区规划功能区划分，包含码头、护岸、航道、停泊区、水产品交易中心、加工区、船舶修造区、综合管理区等（详见附件2）。</w:t>
      </w:r>
    </w:p>
    <w:p w14:paraId="4541A69D">
      <w:pPr>
        <w:keepNext w:val="0"/>
        <w:keepLines w:val="0"/>
        <w:pageBreakBefore w:val="0"/>
        <w:kinsoku/>
        <w:wordWrap/>
        <w:overflowPunct/>
        <w:topLinePunct w:val="0"/>
        <w:autoSpaceDE/>
        <w:autoSpaceDN/>
        <w:bidi w:val="0"/>
        <w:adjustRightInd/>
        <w:snapToGrid/>
        <w:spacing w:line="240" w:lineRule="auto"/>
        <w:ind w:firstLine="640"/>
        <w:jc w:val="left"/>
        <w:textAlignment w:val="auto"/>
        <w:rPr>
          <w:rFonts w:hint="eastAsia" w:ascii="仿宋" w:hAnsi="仿宋" w:eastAsia="仿宋" w:cs="仿宋"/>
          <w:color w:val="auto"/>
          <w:sz w:val="32"/>
          <w:szCs w:val="32"/>
          <w:highlight w:val="none"/>
          <w:lang w:val="en-US" w:eastAsia="zh-CN"/>
        </w:rPr>
      </w:pPr>
    </w:p>
    <w:p w14:paraId="0ED780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32"/>
          <w:szCs w:val="32"/>
          <w:highlight w:val="none"/>
        </w:rPr>
      </w:pPr>
      <w:r>
        <w:rPr>
          <w:rFonts w:hint="eastAsia" w:ascii="黑体" w:hAnsi="黑体" w:eastAsia="黑体" w:cs="黑体"/>
          <w:color w:val="auto"/>
          <w:sz w:val="32"/>
          <w:szCs w:val="32"/>
          <w:highlight w:val="none"/>
        </w:rPr>
        <w:t xml:space="preserve">第三章 </w:t>
      </w:r>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渔港经营</w:t>
      </w:r>
    </w:p>
    <w:p w14:paraId="2EAAC17A">
      <w:pPr>
        <w:keepNext w:val="0"/>
        <w:keepLines w:val="0"/>
        <w:pageBreakBefore w:val="0"/>
        <w:widowControl/>
        <w:suppressLineNumbers w:val="0"/>
        <w:kinsoku/>
        <w:wordWrap/>
        <w:overflowPunct/>
        <w:topLinePunct w:val="0"/>
        <w:autoSpaceDE/>
        <w:autoSpaceDN/>
        <w:bidi w:val="0"/>
        <w:adjustRightInd/>
        <w:snapToGrid/>
        <w:spacing w:line="240" w:lineRule="auto"/>
        <w:ind w:firstLine="643" w:firstLineChars="200"/>
        <w:jc w:val="left"/>
        <w:rPr>
          <w:rFonts w:hint="eastAsia" w:ascii="仿宋" w:hAnsi="仿宋" w:eastAsia="仿宋" w:cs="仿宋"/>
          <w:color w:val="auto"/>
          <w:sz w:val="32"/>
          <w:szCs w:val="32"/>
          <w:highlight w:val="none"/>
          <w:u w:val="none"/>
        </w:rPr>
      </w:pPr>
      <w:r>
        <w:rPr>
          <w:rFonts w:hint="eastAsia" w:ascii="楷体" w:hAnsi="楷体" w:eastAsia="楷体" w:cs="楷体"/>
          <w:b/>
          <w:bCs/>
          <w:color w:val="auto"/>
          <w:sz w:val="32"/>
          <w:szCs w:val="32"/>
          <w:highlight w:val="none"/>
        </w:rPr>
        <w:t>第</w:t>
      </w:r>
      <w:r>
        <w:rPr>
          <w:rFonts w:hint="eastAsia" w:ascii="楷体" w:hAnsi="楷体" w:eastAsia="楷体" w:cs="楷体"/>
          <w:b/>
          <w:bCs/>
          <w:color w:val="auto"/>
          <w:sz w:val="32"/>
          <w:szCs w:val="32"/>
          <w:highlight w:val="none"/>
          <w:lang w:val="en-US" w:eastAsia="zh-CN"/>
        </w:rPr>
        <w:t>七</w:t>
      </w:r>
      <w:r>
        <w:rPr>
          <w:rFonts w:hint="eastAsia" w:ascii="楷体" w:hAnsi="楷体" w:eastAsia="楷体" w:cs="楷体"/>
          <w:b/>
          <w:bCs/>
          <w:color w:val="auto"/>
          <w:sz w:val="32"/>
          <w:szCs w:val="32"/>
          <w:highlight w:val="none"/>
        </w:rPr>
        <w:t>条</w:t>
      </w:r>
      <w:r>
        <w:rPr>
          <w:rFonts w:hint="eastAsia" w:ascii="仿宋" w:hAnsi="仿宋" w:eastAsia="仿宋" w:cs="仿宋"/>
          <w:color w:val="auto"/>
          <w:sz w:val="32"/>
          <w:szCs w:val="32"/>
          <w:highlight w:val="none"/>
          <w:lang w:val="en-US" w:eastAsia="zh-CN"/>
        </w:rPr>
        <w:t xml:space="preserve">  在本渔港从事经营活动的单位和个人，必须依法办理工商登记等相关证照，方可从事渔港经营活动。</w:t>
      </w:r>
    </w:p>
    <w:p w14:paraId="669DD9F4">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第八条</w:t>
      </w:r>
      <w:r>
        <w:rPr>
          <w:rFonts w:hint="eastAsia" w:ascii="仿宋" w:hAnsi="仿宋" w:eastAsia="仿宋" w:cs="仿宋"/>
          <w:color w:val="auto"/>
          <w:sz w:val="32"/>
          <w:szCs w:val="32"/>
          <w:highlight w:val="none"/>
          <w:lang w:val="en-US" w:eastAsia="zh-CN"/>
        </w:rPr>
        <w:t xml:space="preserve">  本渔港经营主体须依法办理商事登记，遵守渔港管理的有关法律、法规，依法经营，并服从渔港行政主管部门、港务管理机构、渔港监督管理机构及其他职能部门的管理，负责制定安全应急处置预案并组织实施，落实安全生产与消防安全责任制。</w:t>
      </w:r>
    </w:p>
    <w:p w14:paraId="5C563C55">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第九条</w:t>
      </w:r>
      <w:r>
        <w:rPr>
          <w:rFonts w:hint="eastAsia" w:ascii="仿宋" w:hAnsi="仿宋" w:eastAsia="仿宋" w:cs="仿宋"/>
          <w:color w:val="auto"/>
          <w:sz w:val="32"/>
          <w:szCs w:val="32"/>
          <w:highlight w:val="none"/>
          <w:lang w:val="en-US" w:eastAsia="zh-CN"/>
        </w:rPr>
        <w:t xml:space="preserve">  从事渔港经营活动的组织、个人及船舶应加强安全生产管理，保障渔港设施、码头、道路的正常运行，并对经营活动范围内的安全工作负责。</w:t>
      </w:r>
    </w:p>
    <w:p w14:paraId="6217EB63">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第十条</w:t>
      </w:r>
      <w:r>
        <w:rPr>
          <w:rFonts w:hint="eastAsia" w:ascii="仿宋" w:hAnsi="仿宋" w:eastAsia="仿宋" w:cs="仿宋"/>
          <w:color w:val="auto"/>
          <w:sz w:val="32"/>
          <w:szCs w:val="32"/>
          <w:highlight w:val="none"/>
          <w:lang w:val="en-US" w:eastAsia="zh-CN"/>
        </w:rPr>
        <w:t xml:space="preserve">  渔港经营主体应当提供公平、良好的服务，承担渔港日常维护，并在其经营场所公布经营服务收费项目和标准，使用国家规定的经营票据。 </w:t>
      </w:r>
    </w:p>
    <w:p w14:paraId="47A41336">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sz w:val="32"/>
          <w:szCs w:val="32"/>
          <w:highlight w:val="none"/>
          <w:lang w:val="en-US" w:eastAsia="zh-CN"/>
        </w:rPr>
        <w:t>第十一条</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在渔港区域范围内经营主体从事危险品作业的，</w:t>
      </w:r>
      <w:r>
        <w:rPr>
          <w:rFonts w:hint="eastAsia" w:ascii="仿宋" w:hAnsi="仿宋" w:eastAsia="仿宋" w:cs="仿宋"/>
          <w:color w:val="auto"/>
          <w:sz w:val="32"/>
          <w:szCs w:val="32"/>
          <w:highlight w:val="none"/>
          <w:lang w:val="en-US" w:eastAsia="zh-CN"/>
        </w:rPr>
        <w:t>应当向渔港监督管理机构提出申请，经批准后在指定的安全地点装卸</w:t>
      </w:r>
      <w:r>
        <w:rPr>
          <w:rFonts w:hint="eastAsia" w:ascii="仿宋" w:hAnsi="仿宋" w:eastAsia="仿宋" w:cs="仿宋"/>
          <w:color w:val="auto"/>
          <w:sz w:val="32"/>
          <w:szCs w:val="32"/>
          <w:highlight w:val="none"/>
        </w:rPr>
        <w:t>。</w:t>
      </w:r>
    </w:p>
    <w:p w14:paraId="6357628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sz w:val="32"/>
          <w:szCs w:val="32"/>
          <w:highlight w:val="none"/>
          <w:lang w:val="en-US" w:eastAsia="zh-CN"/>
        </w:rPr>
        <w:t>第十二条</w:t>
      </w:r>
      <w:r>
        <w:rPr>
          <w:rFonts w:hint="eastAsia" w:ascii="仿宋" w:hAnsi="仿宋" w:eastAsia="仿宋" w:cs="仿宋"/>
          <w:color w:val="auto"/>
          <w:sz w:val="32"/>
          <w:szCs w:val="32"/>
          <w:highlight w:val="none"/>
          <w:lang w:val="en-US" w:eastAsia="zh-CN"/>
        </w:rPr>
        <w:t xml:space="preserve">  经营主体使用渔港水域进行作业的，应当按照国家规定办理审批手续，在作业期间及时报告作业动态</w:t>
      </w:r>
      <w:r>
        <w:rPr>
          <w:rFonts w:hint="eastAsia" w:ascii="仿宋" w:hAnsi="仿宋" w:eastAsia="仿宋" w:cs="仿宋"/>
          <w:color w:val="auto"/>
          <w:sz w:val="32"/>
          <w:szCs w:val="32"/>
          <w:highlight w:val="none"/>
        </w:rPr>
        <w:t>。</w:t>
      </w:r>
    </w:p>
    <w:p w14:paraId="2017B09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第十三条</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禁止在渔港港池、锚地、航道、避风塘等水域从事捕捞作业和养殖生产。</w:t>
      </w:r>
    </w:p>
    <w:p w14:paraId="26B6DE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sz w:val="32"/>
          <w:szCs w:val="32"/>
          <w:highlight w:val="none"/>
        </w:rPr>
        <w:t>第十</w:t>
      </w:r>
      <w:r>
        <w:rPr>
          <w:rFonts w:hint="eastAsia" w:ascii="楷体" w:hAnsi="楷体" w:eastAsia="楷体" w:cs="楷体"/>
          <w:b/>
          <w:bCs/>
          <w:color w:val="auto"/>
          <w:sz w:val="32"/>
          <w:szCs w:val="32"/>
          <w:highlight w:val="none"/>
          <w:lang w:val="en-US" w:eastAsia="zh-CN"/>
        </w:rPr>
        <w:t>四</w:t>
      </w:r>
      <w:r>
        <w:rPr>
          <w:rFonts w:hint="eastAsia" w:ascii="楷体" w:hAnsi="楷体" w:eastAsia="楷体" w:cs="楷体"/>
          <w:b/>
          <w:bCs/>
          <w:color w:val="auto"/>
          <w:sz w:val="32"/>
          <w:szCs w:val="32"/>
          <w:highlight w:val="none"/>
        </w:rPr>
        <w:t>条</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经营主体应当按照核定功能使用渔港设施，配备相应的人员、设备，并保证渔港设施处于良好状态。</w:t>
      </w:r>
    </w:p>
    <w:p w14:paraId="6461D52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highlight w:val="none"/>
        </w:rPr>
      </w:pPr>
    </w:p>
    <w:p w14:paraId="654A73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32"/>
          <w:szCs w:val="32"/>
          <w:highlight w:val="none"/>
        </w:rPr>
      </w:pPr>
      <w:r>
        <w:rPr>
          <w:rFonts w:hint="eastAsia" w:ascii="黑体" w:hAnsi="黑体" w:eastAsia="黑体" w:cs="黑体"/>
          <w:color w:val="auto"/>
          <w:sz w:val="32"/>
          <w:szCs w:val="32"/>
          <w:highlight w:val="none"/>
        </w:rPr>
        <w:t>第四章</w:t>
      </w:r>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渔港安全管理</w:t>
      </w:r>
    </w:p>
    <w:p w14:paraId="37D1AD84">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sz w:val="32"/>
          <w:szCs w:val="32"/>
          <w:highlight w:val="none"/>
        </w:rPr>
        <w:t>第十</w:t>
      </w:r>
      <w:r>
        <w:rPr>
          <w:rFonts w:hint="eastAsia" w:ascii="楷体" w:hAnsi="楷体" w:eastAsia="楷体" w:cs="楷体"/>
          <w:b/>
          <w:bCs/>
          <w:color w:val="auto"/>
          <w:sz w:val="32"/>
          <w:szCs w:val="32"/>
          <w:highlight w:val="none"/>
          <w:lang w:val="en-US" w:eastAsia="zh-CN"/>
        </w:rPr>
        <w:t>五</w:t>
      </w:r>
      <w:r>
        <w:rPr>
          <w:rFonts w:hint="eastAsia" w:ascii="楷体" w:hAnsi="楷体" w:eastAsia="楷体" w:cs="楷体"/>
          <w:b/>
          <w:bCs/>
          <w:color w:val="auto"/>
          <w:sz w:val="32"/>
          <w:szCs w:val="32"/>
          <w:highlight w:val="none"/>
        </w:rPr>
        <w:t>条</w:t>
      </w:r>
      <w:r>
        <w:rPr>
          <w:rFonts w:hint="eastAsia" w:ascii="仿宋" w:hAnsi="仿宋" w:eastAsia="仿宋" w:cs="仿宋"/>
          <w:color w:val="auto"/>
          <w:sz w:val="32"/>
          <w:szCs w:val="32"/>
          <w:highlight w:val="none"/>
          <w:lang w:val="en-US" w:eastAsia="zh-CN"/>
        </w:rPr>
        <w:t xml:space="preserve">  霞山区渔港行政主管部门</w:t>
      </w:r>
      <w:r>
        <w:rPr>
          <w:rFonts w:hint="eastAsia" w:ascii="仿宋" w:hAnsi="仿宋" w:eastAsia="仿宋" w:cs="仿宋"/>
          <w:color w:val="auto"/>
          <w:sz w:val="32"/>
          <w:szCs w:val="32"/>
          <w:highlight w:val="none"/>
        </w:rPr>
        <w:t>负责牵头协调</w:t>
      </w:r>
      <w:r>
        <w:rPr>
          <w:rFonts w:hint="eastAsia" w:ascii="仿宋" w:hAnsi="仿宋" w:eastAsia="仿宋" w:cs="仿宋"/>
          <w:color w:val="auto"/>
          <w:sz w:val="32"/>
          <w:szCs w:val="32"/>
          <w:highlight w:val="none"/>
          <w:lang w:val="en-US" w:eastAsia="zh-CN"/>
        </w:rPr>
        <w:t>本</w:t>
      </w:r>
      <w:r>
        <w:rPr>
          <w:rFonts w:hint="eastAsia" w:ascii="仿宋" w:hAnsi="仿宋" w:eastAsia="仿宋" w:cs="仿宋"/>
          <w:color w:val="auto"/>
          <w:sz w:val="32"/>
          <w:szCs w:val="32"/>
          <w:highlight w:val="none"/>
        </w:rPr>
        <w:t>渔港安全生产工作。</w:t>
      </w:r>
    </w:p>
    <w:p w14:paraId="18CF176D">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sz w:val="32"/>
          <w:szCs w:val="32"/>
          <w:highlight w:val="none"/>
          <w:lang w:val="en-US" w:eastAsia="zh-CN"/>
        </w:rPr>
        <w:t>第十六条</w:t>
      </w:r>
      <w:r>
        <w:rPr>
          <w:rFonts w:hint="eastAsia" w:ascii="仿宋" w:hAnsi="仿宋" w:eastAsia="仿宋" w:cs="仿宋"/>
          <w:color w:val="auto"/>
          <w:sz w:val="32"/>
          <w:szCs w:val="32"/>
          <w:highlight w:val="none"/>
          <w:lang w:val="en-US" w:eastAsia="zh-CN"/>
        </w:rPr>
        <w:t xml:space="preserve">  霞山区应急管理部门负责指导区</w:t>
      </w:r>
      <w:r>
        <w:rPr>
          <w:rFonts w:hint="eastAsia" w:ascii="仿宋" w:hAnsi="仿宋" w:eastAsia="仿宋" w:cs="仿宋"/>
          <w:color w:val="auto"/>
          <w:sz w:val="32"/>
          <w:szCs w:val="32"/>
          <w:highlight w:val="none"/>
        </w:rPr>
        <w:t>农业农村</w:t>
      </w:r>
      <w:r>
        <w:rPr>
          <w:rFonts w:hint="eastAsia" w:ascii="仿宋" w:hAnsi="仿宋" w:eastAsia="仿宋" w:cs="仿宋"/>
          <w:color w:val="auto"/>
          <w:sz w:val="32"/>
          <w:szCs w:val="32"/>
          <w:highlight w:val="none"/>
          <w:lang w:val="en-US" w:eastAsia="zh-CN"/>
        </w:rPr>
        <w:t>局</w:t>
      </w:r>
      <w:r>
        <w:rPr>
          <w:rFonts w:hint="eastAsia" w:ascii="仿宋" w:hAnsi="仿宋" w:eastAsia="仿宋" w:cs="仿宋"/>
          <w:color w:val="auto"/>
          <w:sz w:val="32"/>
          <w:szCs w:val="32"/>
          <w:highlight w:val="none"/>
        </w:rPr>
        <w:t>制定渔港防台风预案，细化</w:t>
      </w:r>
      <w:r>
        <w:rPr>
          <w:rFonts w:hint="eastAsia" w:ascii="仿宋" w:hAnsi="仿宋" w:eastAsia="仿宋" w:cs="仿宋"/>
          <w:color w:val="auto"/>
          <w:sz w:val="32"/>
          <w:szCs w:val="32"/>
          <w:highlight w:val="none"/>
          <w:lang w:val="en-US" w:eastAsia="zh-CN"/>
        </w:rPr>
        <w:t>完善</w:t>
      </w:r>
      <w:r>
        <w:rPr>
          <w:rFonts w:hint="eastAsia" w:ascii="仿宋" w:hAnsi="仿宋" w:eastAsia="仿宋" w:cs="仿宋"/>
          <w:color w:val="auto"/>
          <w:sz w:val="32"/>
          <w:szCs w:val="32"/>
          <w:highlight w:val="none"/>
        </w:rPr>
        <w:t>遇强台风港内停泊的船上人员转移上岸预案。防台风期间，</w:t>
      </w:r>
      <w:r>
        <w:rPr>
          <w:rFonts w:hint="eastAsia" w:ascii="仿宋" w:hAnsi="仿宋" w:eastAsia="仿宋" w:cs="仿宋"/>
          <w:color w:val="auto"/>
          <w:sz w:val="32"/>
          <w:szCs w:val="32"/>
          <w:highlight w:val="none"/>
          <w:lang w:eastAsia="zh-CN"/>
        </w:rPr>
        <w:t>应急管理</w:t>
      </w:r>
      <w:r>
        <w:rPr>
          <w:rFonts w:hint="eastAsia" w:ascii="仿宋" w:hAnsi="仿宋" w:eastAsia="仿宋" w:cs="仿宋"/>
          <w:color w:val="auto"/>
          <w:sz w:val="32"/>
          <w:szCs w:val="32"/>
          <w:highlight w:val="none"/>
          <w:lang w:val="en-US" w:eastAsia="zh-CN"/>
        </w:rPr>
        <w:t>部门</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渔港行政主管部门</w:t>
      </w:r>
      <w:r>
        <w:rPr>
          <w:rFonts w:hint="eastAsia" w:ascii="仿宋" w:hAnsi="仿宋" w:eastAsia="仿宋" w:cs="仿宋"/>
          <w:color w:val="auto"/>
          <w:sz w:val="32"/>
          <w:szCs w:val="32"/>
          <w:highlight w:val="none"/>
          <w:lang w:eastAsia="zh-CN"/>
        </w:rPr>
        <w:t>、海洋综合执法</w:t>
      </w:r>
      <w:r>
        <w:rPr>
          <w:rFonts w:hint="eastAsia" w:ascii="仿宋" w:hAnsi="仿宋" w:eastAsia="仿宋" w:cs="仿宋"/>
          <w:color w:val="auto"/>
          <w:sz w:val="32"/>
          <w:szCs w:val="32"/>
          <w:highlight w:val="none"/>
          <w:lang w:val="en-US" w:eastAsia="zh-CN"/>
        </w:rPr>
        <w:t>机构</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海事部门</w:t>
      </w:r>
      <w:r>
        <w:rPr>
          <w:rFonts w:hint="eastAsia" w:ascii="仿宋" w:hAnsi="仿宋" w:eastAsia="仿宋" w:cs="仿宋"/>
          <w:color w:val="auto"/>
          <w:sz w:val="32"/>
          <w:szCs w:val="32"/>
          <w:highlight w:val="none"/>
          <w:lang w:eastAsia="zh-CN"/>
        </w:rPr>
        <w:t>等相关单位</w:t>
      </w:r>
      <w:r>
        <w:rPr>
          <w:rFonts w:hint="eastAsia" w:ascii="仿宋" w:hAnsi="仿宋" w:eastAsia="仿宋" w:cs="仿宋"/>
          <w:color w:val="auto"/>
          <w:sz w:val="32"/>
          <w:szCs w:val="32"/>
          <w:highlight w:val="none"/>
        </w:rPr>
        <w:t>应按防台风预案履行职责。</w:t>
      </w:r>
    </w:p>
    <w:p w14:paraId="27721E8C">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sz w:val="32"/>
          <w:szCs w:val="32"/>
          <w:highlight w:val="none"/>
        </w:rPr>
        <w:t>第</w:t>
      </w:r>
      <w:r>
        <w:rPr>
          <w:rFonts w:hint="eastAsia" w:ascii="楷体" w:hAnsi="楷体" w:eastAsia="楷体" w:cs="楷体"/>
          <w:b/>
          <w:bCs/>
          <w:color w:val="auto"/>
          <w:sz w:val="32"/>
          <w:szCs w:val="32"/>
          <w:highlight w:val="none"/>
          <w:lang w:eastAsia="zh-CN"/>
        </w:rPr>
        <w:t>十</w:t>
      </w:r>
      <w:r>
        <w:rPr>
          <w:rFonts w:hint="eastAsia" w:ascii="楷体" w:hAnsi="楷体" w:eastAsia="楷体" w:cs="楷体"/>
          <w:b/>
          <w:bCs/>
          <w:color w:val="auto"/>
          <w:sz w:val="32"/>
          <w:szCs w:val="32"/>
          <w:highlight w:val="none"/>
          <w:lang w:val="en-US" w:eastAsia="zh-CN"/>
        </w:rPr>
        <w:t>七条</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防台风期间，业主、经营者、施工单位等应服从管理机构和安全主管</w:t>
      </w:r>
      <w:r>
        <w:rPr>
          <w:rFonts w:hint="eastAsia" w:ascii="仿宋" w:hAnsi="仿宋" w:eastAsia="仿宋" w:cs="仿宋"/>
          <w:color w:val="auto"/>
          <w:sz w:val="32"/>
          <w:szCs w:val="32"/>
          <w:highlight w:val="none"/>
          <w:lang w:val="en-US" w:eastAsia="zh-CN"/>
        </w:rPr>
        <w:t>部门</w:t>
      </w:r>
      <w:r>
        <w:rPr>
          <w:rFonts w:hint="eastAsia" w:ascii="仿宋" w:hAnsi="仿宋" w:eastAsia="仿宋" w:cs="仿宋"/>
          <w:color w:val="auto"/>
          <w:sz w:val="32"/>
          <w:szCs w:val="32"/>
          <w:highlight w:val="none"/>
        </w:rPr>
        <w:t>的指挥调度；进港避风的船舶须服从现场管理人员的指挥，在指定的泊位有序停泊；在发布防台风相应警报后，港区内停止装卸货、运输及交易活动。</w:t>
      </w:r>
    </w:p>
    <w:p w14:paraId="2FAAF189">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sz w:val="32"/>
          <w:szCs w:val="32"/>
          <w:highlight w:val="none"/>
          <w:lang w:val="en-US" w:eastAsia="zh-CN"/>
        </w:rPr>
        <w:t>第十八条</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港内发生火灾、沉船、碰撞等应急情况时，渔港管理机构和安全主管</w:t>
      </w:r>
      <w:r>
        <w:rPr>
          <w:rFonts w:hint="eastAsia" w:ascii="仿宋" w:hAnsi="仿宋" w:eastAsia="仿宋" w:cs="仿宋"/>
          <w:color w:val="auto"/>
          <w:sz w:val="32"/>
          <w:szCs w:val="32"/>
          <w:highlight w:val="none"/>
          <w:lang w:val="en-US" w:eastAsia="zh-CN"/>
        </w:rPr>
        <w:t>部门</w:t>
      </w:r>
      <w:r>
        <w:rPr>
          <w:rFonts w:hint="eastAsia" w:ascii="仿宋" w:hAnsi="仿宋" w:eastAsia="仿宋" w:cs="仿宋"/>
          <w:color w:val="auto"/>
          <w:sz w:val="32"/>
          <w:szCs w:val="32"/>
          <w:highlight w:val="none"/>
        </w:rPr>
        <w:t>有权调度在港船舶协同救助。港内船舶应服从调度。</w:t>
      </w:r>
    </w:p>
    <w:p w14:paraId="4EB509AB">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sz w:val="32"/>
          <w:szCs w:val="32"/>
          <w:highlight w:val="none"/>
          <w:lang w:val="en-US" w:eastAsia="zh-CN"/>
        </w:rPr>
        <w:t>第十九条</w:t>
      </w:r>
      <w:r>
        <w:rPr>
          <w:rFonts w:hint="eastAsia" w:ascii="仿宋" w:hAnsi="仿宋" w:eastAsia="仿宋" w:cs="仿宋"/>
          <w:color w:val="auto"/>
          <w:sz w:val="32"/>
          <w:szCs w:val="32"/>
          <w:highlight w:val="none"/>
          <w:lang w:val="en-US" w:eastAsia="zh-CN"/>
        </w:rPr>
        <w:t xml:space="preserve">  本</w:t>
      </w:r>
      <w:r>
        <w:rPr>
          <w:rFonts w:hint="eastAsia" w:ascii="仿宋" w:hAnsi="仿宋" w:eastAsia="仿宋" w:cs="仿宋"/>
          <w:color w:val="auto"/>
          <w:sz w:val="32"/>
          <w:szCs w:val="32"/>
          <w:highlight w:val="none"/>
        </w:rPr>
        <w:t>渔港的消防工作纳入属地消防责任制范围；渔港行政主管部门</w:t>
      </w:r>
      <w:r>
        <w:rPr>
          <w:rFonts w:hint="eastAsia" w:ascii="仿宋" w:hAnsi="仿宋" w:eastAsia="仿宋" w:cs="仿宋"/>
          <w:color w:val="auto"/>
          <w:sz w:val="32"/>
          <w:szCs w:val="32"/>
          <w:highlight w:val="none"/>
          <w:lang w:val="en-US" w:eastAsia="zh-CN"/>
        </w:rPr>
        <w:t>指导属地街道制定</w:t>
      </w:r>
      <w:r>
        <w:rPr>
          <w:rFonts w:hint="eastAsia" w:ascii="仿宋" w:hAnsi="仿宋" w:eastAsia="仿宋" w:cs="仿宋"/>
          <w:color w:val="auto"/>
          <w:sz w:val="32"/>
          <w:szCs w:val="32"/>
          <w:highlight w:val="none"/>
        </w:rPr>
        <w:t>《渔港应急救援预案》并组织实施，组建消防管理网络；</w:t>
      </w:r>
      <w:r>
        <w:rPr>
          <w:rFonts w:hint="eastAsia" w:ascii="仿宋" w:hAnsi="仿宋" w:eastAsia="仿宋" w:cs="仿宋"/>
          <w:color w:val="auto"/>
          <w:sz w:val="32"/>
          <w:szCs w:val="32"/>
          <w:highlight w:val="none"/>
          <w:lang w:val="en-US" w:eastAsia="zh-CN"/>
        </w:rPr>
        <w:t>霞山区</w:t>
      </w:r>
      <w:r>
        <w:rPr>
          <w:rFonts w:hint="eastAsia" w:ascii="仿宋" w:hAnsi="仿宋" w:eastAsia="仿宋" w:cs="仿宋"/>
          <w:color w:val="auto"/>
          <w:sz w:val="32"/>
          <w:szCs w:val="32"/>
          <w:highlight w:val="none"/>
          <w:lang w:eastAsia="zh-CN"/>
        </w:rPr>
        <w:t>消防救援</w:t>
      </w:r>
      <w:r>
        <w:rPr>
          <w:rFonts w:hint="eastAsia" w:ascii="仿宋" w:hAnsi="仿宋" w:eastAsia="仿宋" w:cs="仿宋"/>
          <w:color w:val="auto"/>
          <w:sz w:val="32"/>
          <w:szCs w:val="32"/>
          <w:highlight w:val="none"/>
          <w:lang w:val="en-US" w:eastAsia="zh-CN"/>
        </w:rPr>
        <w:t>机构</w:t>
      </w:r>
      <w:r>
        <w:rPr>
          <w:rFonts w:hint="eastAsia" w:ascii="仿宋" w:hAnsi="仿宋" w:eastAsia="仿宋" w:cs="仿宋"/>
          <w:color w:val="auto"/>
          <w:sz w:val="32"/>
          <w:szCs w:val="32"/>
          <w:highlight w:val="none"/>
        </w:rPr>
        <w:t>应加强对渔港消防管理的</w:t>
      </w:r>
      <w:r>
        <w:rPr>
          <w:rFonts w:hint="eastAsia" w:ascii="仿宋" w:hAnsi="仿宋" w:eastAsia="仿宋" w:cs="仿宋"/>
          <w:color w:val="auto"/>
          <w:sz w:val="32"/>
          <w:szCs w:val="32"/>
          <w:highlight w:val="none"/>
          <w:lang w:val="en-US" w:eastAsia="zh-CN"/>
        </w:rPr>
        <w:t>指导和</w:t>
      </w:r>
      <w:r>
        <w:rPr>
          <w:rFonts w:hint="eastAsia" w:ascii="仿宋" w:hAnsi="仿宋" w:eastAsia="仿宋" w:cs="仿宋"/>
          <w:color w:val="auto"/>
          <w:sz w:val="32"/>
          <w:szCs w:val="32"/>
          <w:highlight w:val="none"/>
        </w:rPr>
        <w:t>监管工作。从事与渔港经营活动有关的单位应当制定安全生产突发事件应急预案。</w:t>
      </w:r>
    </w:p>
    <w:p w14:paraId="1FF9ACAA">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sz w:val="32"/>
          <w:szCs w:val="32"/>
          <w:highlight w:val="none"/>
          <w:lang w:val="en-US" w:eastAsia="zh-CN"/>
        </w:rPr>
        <w:t>第二十条</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船舶在渔港停泊期间</w:t>
      </w:r>
      <w:r>
        <w:rPr>
          <w:rFonts w:hint="eastAsia" w:ascii="仿宋" w:hAnsi="仿宋" w:eastAsia="仿宋" w:cs="仿宋"/>
          <w:color w:val="auto"/>
          <w:sz w:val="32"/>
          <w:szCs w:val="32"/>
          <w:highlight w:val="none"/>
          <w:lang w:val="en-US" w:eastAsia="zh-CN"/>
        </w:rPr>
        <w:t>应安排人员值班</w:t>
      </w:r>
      <w:r>
        <w:rPr>
          <w:rFonts w:hint="eastAsia" w:ascii="仿宋" w:hAnsi="仿宋" w:eastAsia="仿宋" w:cs="仿宋"/>
          <w:color w:val="auto"/>
          <w:sz w:val="32"/>
          <w:szCs w:val="32"/>
          <w:highlight w:val="none"/>
        </w:rPr>
        <w:t>，发生突发事件时，事故现场有关人员应当及时发出呼救信号，并采取积极有效的自救、互救措施。接到报告的</w:t>
      </w:r>
      <w:r>
        <w:rPr>
          <w:rFonts w:hint="eastAsia" w:ascii="仿宋" w:hAnsi="仿宋" w:eastAsia="仿宋" w:cs="仿宋"/>
          <w:color w:val="auto"/>
          <w:sz w:val="32"/>
          <w:szCs w:val="32"/>
          <w:highlight w:val="none"/>
          <w:lang w:val="en-US" w:eastAsia="zh-CN"/>
        </w:rPr>
        <w:t>渔港管理部门</w:t>
      </w:r>
      <w:r>
        <w:rPr>
          <w:rFonts w:hint="eastAsia" w:ascii="仿宋" w:hAnsi="仿宋" w:eastAsia="仿宋" w:cs="仿宋"/>
          <w:color w:val="auto"/>
          <w:sz w:val="32"/>
          <w:szCs w:val="32"/>
          <w:highlight w:val="none"/>
        </w:rPr>
        <w:t>应及时组织、协调</w:t>
      </w:r>
      <w:r>
        <w:rPr>
          <w:rFonts w:hint="eastAsia" w:ascii="仿宋" w:hAnsi="仿宋" w:eastAsia="仿宋" w:cs="仿宋"/>
          <w:color w:val="auto"/>
          <w:sz w:val="32"/>
          <w:szCs w:val="32"/>
          <w:highlight w:val="none"/>
          <w:lang w:val="en-US" w:eastAsia="zh-CN"/>
        </w:rPr>
        <w:t>并</w:t>
      </w:r>
      <w:r>
        <w:rPr>
          <w:rFonts w:hint="eastAsia" w:ascii="仿宋" w:hAnsi="仿宋" w:eastAsia="仿宋" w:cs="仿宋"/>
          <w:color w:val="auto"/>
          <w:sz w:val="32"/>
          <w:szCs w:val="32"/>
          <w:highlight w:val="none"/>
        </w:rPr>
        <w:t>指挥救助行动。接到相关指令的相关部门、单位和船舶应当服从统一指挥，积极配合救助行动。</w:t>
      </w:r>
    </w:p>
    <w:p w14:paraId="7A559AD5">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sz w:val="32"/>
          <w:szCs w:val="32"/>
          <w:highlight w:val="none"/>
          <w:lang w:val="en-US" w:eastAsia="zh-CN"/>
        </w:rPr>
        <w:t>第二十一条</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任何单位和个人未经</w:t>
      </w:r>
      <w:r>
        <w:rPr>
          <w:rFonts w:hint="eastAsia" w:ascii="仿宋" w:hAnsi="仿宋" w:eastAsia="仿宋" w:cs="仿宋"/>
          <w:color w:val="auto"/>
          <w:sz w:val="32"/>
          <w:szCs w:val="32"/>
          <w:highlight w:val="none"/>
          <w:lang w:val="en-US" w:eastAsia="zh-CN"/>
        </w:rPr>
        <w:t>湛江市海洋综合执法机构</w:t>
      </w:r>
      <w:r>
        <w:rPr>
          <w:rFonts w:hint="eastAsia" w:ascii="仿宋" w:hAnsi="仿宋" w:eastAsia="仿宋" w:cs="仿宋"/>
          <w:color w:val="auto"/>
          <w:sz w:val="32"/>
          <w:szCs w:val="32"/>
          <w:highlight w:val="none"/>
        </w:rPr>
        <w:t>批准</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不得在渔港范围内进行明火作业</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燃放烟花爆竹</w:t>
      </w:r>
      <w:r>
        <w:rPr>
          <w:rFonts w:hint="eastAsia" w:ascii="仿宋" w:hAnsi="仿宋" w:eastAsia="仿宋" w:cs="仿宋"/>
          <w:color w:val="auto"/>
          <w:sz w:val="32"/>
          <w:szCs w:val="32"/>
          <w:highlight w:val="none"/>
          <w:lang w:val="en-US" w:eastAsia="zh-CN"/>
        </w:rPr>
        <w:t>和</w:t>
      </w:r>
      <w:r>
        <w:rPr>
          <w:rFonts w:hint="eastAsia" w:ascii="仿宋" w:hAnsi="仿宋" w:eastAsia="仿宋" w:cs="仿宋"/>
          <w:color w:val="auto"/>
          <w:sz w:val="32"/>
          <w:szCs w:val="32"/>
          <w:highlight w:val="none"/>
        </w:rPr>
        <w:t>进行电、气、焊等危害渔港及船舶安全的相关作业。</w:t>
      </w:r>
    </w:p>
    <w:p w14:paraId="7B8EE96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firstLine="643" w:firstLineChars="200"/>
        <w:textAlignment w:val="auto"/>
        <w:rPr>
          <w:rFonts w:hint="eastAsia" w:ascii="仿宋" w:hAnsi="仿宋" w:eastAsia="仿宋" w:cs="仿宋"/>
          <w:color w:val="auto"/>
          <w:kern w:val="2"/>
          <w:sz w:val="32"/>
          <w:szCs w:val="32"/>
          <w:highlight w:val="none"/>
          <w:lang w:val="en-US" w:eastAsia="zh-CN" w:bidi="ar-SA"/>
        </w:rPr>
      </w:pPr>
      <w:r>
        <w:rPr>
          <w:rFonts w:hint="eastAsia" w:ascii="楷体" w:hAnsi="楷体" w:eastAsia="楷体" w:cs="楷体"/>
          <w:b/>
          <w:bCs/>
          <w:color w:val="auto"/>
          <w:kern w:val="2"/>
          <w:sz w:val="32"/>
          <w:szCs w:val="32"/>
          <w:highlight w:val="none"/>
          <w:lang w:val="en-US" w:eastAsia="zh-CN" w:bidi="ar-SA"/>
        </w:rPr>
        <w:t>第二十二条</w:t>
      </w:r>
      <w:r>
        <w:rPr>
          <w:rFonts w:hint="eastAsia" w:ascii="仿宋" w:hAnsi="仿宋" w:eastAsia="仿宋" w:cs="仿宋"/>
          <w:color w:val="auto"/>
          <w:kern w:val="2"/>
          <w:sz w:val="32"/>
          <w:szCs w:val="32"/>
          <w:highlight w:val="none"/>
          <w:lang w:val="en-US" w:eastAsia="zh-CN" w:bidi="ar-SA"/>
        </w:rPr>
        <w:t xml:space="preserve">  对影响安全航行、航道整治以及有潜在危险的沉没物、漂浮物，其所有人、经营人应当及时打捞清除。</w:t>
      </w:r>
    </w:p>
    <w:p w14:paraId="27677705">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sz w:val="32"/>
          <w:szCs w:val="32"/>
          <w:highlight w:val="none"/>
          <w:lang w:val="en-US" w:eastAsia="zh-CN"/>
        </w:rPr>
        <w:t>第二十三条</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lang w:eastAsia="zh-CN"/>
        </w:rPr>
        <w:t>渔</w:t>
      </w:r>
      <w:r>
        <w:rPr>
          <w:rFonts w:hint="eastAsia" w:ascii="仿宋" w:hAnsi="仿宋" w:eastAsia="仿宋" w:cs="仿宋"/>
          <w:color w:val="auto"/>
          <w:sz w:val="32"/>
          <w:szCs w:val="32"/>
          <w:highlight w:val="none"/>
        </w:rPr>
        <w:t>港内石油供应站、点、车辆、船舶等供油设施，</w:t>
      </w:r>
      <w:r>
        <w:rPr>
          <w:rFonts w:hint="eastAsia" w:ascii="仿宋" w:hAnsi="仿宋" w:eastAsia="仿宋" w:cs="仿宋"/>
          <w:color w:val="auto"/>
          <w:sz w:val="32"/>
          <w:szCs w:val="32"/>
          <w:highlight w:val="none"/>
          <w:lang w:val="en-US" w:eastAsia="zh-CN"/>
        </w:rPr>
        <w:t>应</w:t>
      </w:r>
      <w:r>
        <w:rPr>
          <w:rFonts w:hint="eastAsia" w:ascii="仿宋" w:hAnsi="仿宋" w:eastAsia="仿宋" w:cs="仿宋"/>
          <w:color w:val="auto"/>
          <w:sz w:val="32"/>
          <w:szCs w:val="32"/>
          <w:highlight w:val="none"/>
        </w:rPr>
        <w:t>具备相应的资质，符合安全管理要求。严禁在渔港区域从事非法加油活动。</w:t>
      </w:r>
      <w:r>
        <w:rPr>
          <w:rFonts w:hint="eastAsia" w:ascii="仿宋" w:hAnsi="仿宋" w:eastAsia="仿宋" w:cs="仿宋"/>
          <w:color w:val="auto"/>
          <w:sz w:val="32"/>
          <w:szCs w:val="32"/>
          <w:highlight w:val="none"/>
          <w:lang w:val="en-US" w:eastAsia="zh-CN"/>
        </w:rPr>
        <w:t>未经湛江市海洋综合执法机构批准，</w:t>
      </w:r>
      <w:r>
        <w:rPr>
          <w:rFonts w:hint="eastAsia" w:ascii="仿宋" w:hAnsi="仿宋" w:eastAsia="仿宋" w:cs="仿宋"/>
          <w:color w:val="auto"/>
          <w:sz w:val="32"/>
          <w:szCs w:val="32"/>
          <w:highlight w:val="none"/>
        </w:rPr>
        <w:t>危险化学品运输船舶</w:t>
      </w:r>
      <w:r>
        <w:rPr>
          <w:rFonts w:hint="eastAsia" w:ascii="仿宋" w:hAnsi="仿宋" w:eastAsia="仿宋" w:cs="仿宋"/>
          <w:color w:val="auto"/>
          <w:sz w:val="32"/>
          <w:szCs w:val="32"/>
          <w:highlight w:val="none"/>
          <w:lang w:val="en-US" w:eastAsia="zh-CN"/>
        </w:rPr>
        <w:t>不得</w:t>
      </w:r>
      <w:r>
        <w:rPr>
          <w:rFonts w:hint="eastAsia" w:ascii="仿宋" w:hAnsi="仿宋" w:eastAsia="仿宋" w:cs="仿宋"/>
          <w:color w:val="auto"/>
          <w:sz w:val="32"/>
          <w:szCs w:val="32"/>
          <w:highlight w:val="none"/>
        </w:rPr>
        <w:t>进入渔港水域。</w:t>
      </w:r>
    </w:p>
    <w:p w14:paraId="24463F54">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sz w:val="32"/>
          <w:szCs w:val="32"/>
          <w:highlight w:val="none"/>
          <w:lang w:val="en-US" w:eastAsia="zh-CN"/>
        </w:rPr>
        <w:t>第二十四条</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爱护渔港助航、消防等各种公共设施，任何单位和个人不得侵占、损坏消防、助航、导航标志等渔港设施。发现航标漂失、移位、受损或侵占</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损坏</w:t>
      </w:r>
      <w:r>
        <w:rPr>
          <w:rFonts w:hint="eastAsia" w:ascii="仿宋" w:hAnsi="仿宋" w:eastAsia="仿宋" w:cs="仿宋"/>
          <w:color w:val="auto"/>
          <w:sz w:val="32"/>
          <w:szCs w:val="32"/>
          <w:highlight w:val="none"/>
        </w:rPr>
        <w:t>渔港设施的，</w:t>
      </w:r>
      <w:r>
        <w:rPr>
          <w:rFonts w:hint="eastAsia" w:ascii="仿宋" w:hAnsi="仿宋" w:eastAsia="仿宋" w:cs="仿宋"/>
          <w:color w:val="auto"/>
          <w:sz w:val="32"/>
          <w:szCs w:val="32"/>
          <w:highlight w:val="none"/>
          <w:lang w:val="en-US" w:eastAsia="zh-CN"/>
        </w:rPr>
        <w:t>责任方</w:t>
      </w:r>
      <w:r>
        <w:rPr>
          <w:rFonts w:hint="eastAsia" w:ascii="仿宋" w:hAnsi="仿宋" w:eastAsia="仿宋" w:cs="仿宋"/>
          <w:color w:val="auto"/>
          <w:sz w:val="32"/>
          <w:szCs w:val="32"/>
          <w:highlight w:val="none"/>
        </w:rPr>
        <w:t>应恢复原状或照价赔偿。</w:t>
      </w:r>
    </w:p>
    <w:p w14:paraId="38E7C66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firstLine="640" w:firstLineChars="200"/>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不得在渔港区域内擅自设置有碍安全的标志，不得建造影响安全的设施。造成渔港设施损坏的，依法承担赔偿责任。</w:t>
      </w:r>
    </w:p>
    <w:p w14:paraId="6994101C">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sz w:val="32"/>
          <w:szCs w:val="32"/>
          <w:highlight w:val="none"/>
          <w:lang w:val="en-US" w:eastAsia="zh-CN"/>
        </w:rPr>
        <w:t>第二十五条</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在渔港范围内新建、改建、扩建各种设施或进行其他水上、水下施工作业的，应当按照国家规定办理审批手续；影响通航的，</w:t>
      </w:r>
      <w:r>
        <w:rPr>
          <w:rFonts w:hint="eastAsia" w:ascii="仿宋" w:hAnsi="仿宋" w:eastAsia="仿宋" w:cs="仿宋"/>
          <w:color w:val="auto"/>
          <w:sz w:val="32"/>
          <w:szCs w:val="32"/>
          <w:highlight w:val="none"/>
          <w:lang w:val="en-US" w:eastAsia="zh-CN"/>
        </w:rPr>
        <w:t>湛江市海洋综合执法机构</w:t>
      </w:r>
      <w:r>
        <w:rPr>
          <w:rFonts w:hint="eastAsia" w:ascii="仿宋" w:hAnsi="仿宋" w:eastAsia="仿宋" w:cs="仿宋"/>
          <w:color w:val="auto"/>
          <w:sz w:val="32"/>
          <w:szCs w:val="32"/>
          <w:highlight w:val="none"/>
        </w:rPr>
        <w:t>应当在施工前发布航行通告。</w:t>
      </w:r>
    </w:p>
    <w:p w14:paraId="231EA730">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sz w:val="32"/>
          <w:szCs w:val="32"/>
          <w:highlight w:val="none"/>
          <w:lang w:val="en-US" w:eastAsia="zh-CN"/>
        </w:rPr>
        <w:t xml:space="preserve">第二十六条 </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自觉遵守国家法律法规及相关规定，维护渔港秩序。不得从事水上娱乐等妨碍渔港安全的相关活动，严禁从事偷渡、走私、贩毒等违法犯罪活动。</w:t>
      </w:r>
    </w:p>
    <w:p w14:paraId="2A388C48">
      <w:pPr>
        <w:pStyle w:val="9"/>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640"/>
        <w:jc w:val="both"/>
        <w:rPr>
          <w:rFonts w:hint="eastAsia" w:ascii="仿宋" w:hAnsi="仿宋" w:eastAsia="仿宋" w:cs="仿宋"/>
          <w:color w:val="auto"/>
          <w:kern w:val="2"/>
          <w:sz w:val="32"/>
          <w:szCs w:val="32"/>
          <w:highlight w:val="none"/>
          <w:u w:val="none"/>
          <w:shd w:val="clear"/>
          <w:lang w:val="en-US" w:eastAsia="zh-CN" w:bidi="ar-SA"/>
        </w:rPr>
      </w:pPr>
      <w:r>
        <w:rPr>
          <w:rFonts w:hint="eastAsia" w:ascii="楷体" w:hAnsi="楷体" w:eastAsia="楷体" w:cs="楷体"/>
          <w:b/>
          <w:bCs/>
          <w:color w:val="auto"/>
          <w:kern w:val="2"/>
          <w:sz w:val="32"/>
          <w:szCs w:val="32"/>
          <w:highlight w:val="none"/>
          <w:u w:val="none"/>
          <w:shd w:val="clear"/>
          <w:lang w:val="en-US" w:eastAsia="zh-CN" w:bidi="ar-SA"/>
        </w:rPr>
        <w:t xml:space="preserve">第二十七条 </w:t>
      </w:r>
      <w:r>
        <w:rPr>
          <w:rFonts w:hint="eastAsia" w:ascii="仿宋" w:hAnsi="仿宋" w:eastAsia="仿宋" w:cs="仿宋"/>
          <w:color w:val="auto"/>
          <w:kern w:val="2"/>
          <w:sz w:val="32"/>
          <w:szCs w:val="32"/>
          <w:highlight w:val="none"/>
          <w:u w:val="none"/>
          <w:shd w:val="clear"/>
          <w:lang w:val="en-US" w:eastAsia="zh-CN" w:bidi="ar-SA"/>
        </w:rPr>
        <w:t>与渔港经营活动有关的单位和个人应加强安全生产管理，制定安全作业操作规程，保障渔港设施、码头、道路的正常运行，并对经营活动范围内的安全工作负责。</w:t>
      </w:r>
    </w:p>
    <w:p w14:paraId="495ED6DB">
      <w:pPr>
        <w:pStyle w:val="9"/>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640"/>
        <w:jc w:val="both"/>
        <w:rPr>
          <w:rFonts w:hint="eastAsia" w:ascii="仿宋" w:hAnsi="仿宋" w:eastAsia="仿宋" w:cs="仿宋"/>
          <w:color w:val="auto"/>
          <w:kern w:val="2"/>
          <w:sz w:val="32"/>
          <w:szCs w:val="32"/>
          <w:highlight w:val="none"/>
          <w:u w:val="none"/>
          <w:shd w:val="clear"/>
          <w:lang w:val="en-US" w:eastAsia="zh-CN" w:bidi="ar-SA"/>
        </w:rPr>
      </w:pPr>
    </w:p>
    <w:p w14:paraId="2133B7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32"/>
          <w:szCs w:val="32"/>
          <w:highlight w:val="none"/>
        </w:rPr>
      </w:pPr>
      <w:r>
        <w:rPr>
          <w:rFonts w:hint="eastAsia" w:ascii="黑体" w:hAnsi="黑体" w:eastAsia="黑体" w:cs="黑体"/>
          <w:color w:val="auto"/>
          <w:sz w:val="32"/>
          <w:szCs w:val="32"/>
          <w:highlight w:val="none"/>
        </w:rPr>
        <w:t>第五章</w:t>
      </w:r>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渔港环境管理</w:t>
      </w:r>
    </w:p>
    <w:p w14:paraId="6D573089">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sz w:val="32"/>
          <w:szCs w:val="32"/>
          <w:highlight w:val="none"/>
          <w:lang w:val="en-US" w:eastAsia="zh-CN"/>
        </w:rPr>
        <w:t>第二十八条</w:t>
      </w:r>
      <w:r>
        <w:rPr>
          <w:rFonts w:hint="eastAsia" w:ascii="仿宋" w:hAnsi="仿宋" w:eastAsia="仿宋" w:cs="仿宋"/>
          <w:color w:val="auto"/>
          <w:kern w:val="2"/>
          <w:sz w:val="32"/>
          <w:szCs w:val="32"/>
          <w:highlight w:val="none"/>
          <w:u w:val="none"/>
          <w:shd w:val="clear" w:color="auto" w:fill="auto"/>
          <w:lang w:val="en-US" w:eastAsia="zh-CN" w:bidi="ar-SA"/>
        </w:rPr>
        <w:t xml:space="preserve">  </w:t>
      </w:r>
      <w:r>
        <w:rPr>
          <w:rFonts w:hint="eastAsia" w:ascii="仿宋" w:hAnsi="仿宋" w:eastAsia="仿宋" w:cs="仿宋"/>
          <w:color w:val="auto"/>
          <w:sz w:val="32"/>
          <w:szCs w:val="32"/>
          <w:highlight w:val="none"/>
        </w:rPr>
        <w:t>遵守环境保护的相关法律法规及渔港环境保护相关规定，防止对渔港水域及其周边环境造成污染和危害。</w:t>
      </w:r>
    </w:p>
    <w:p w14:paraId="6CD3EE78">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在渔港范围外从事工程建设等活动可能导致港区淤积、水文变化或者危及渔港安全的，施工单位应当采取有效的防护措施。</w:t>
      </w:r>
    </w:p>
    <w:p w14:paraId="331777C2">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sz w:val="32"/>
          <w:szCs w:val="32"/>
          <w:highlight w:val="none"/>
          <w:lang w:val="en-US" w:eastAsia="zh-CN"/>
        </w:rPr>
        <w:t>第二十九条</w:t>
      </w:r>
      <w:r>
        <w:rPr>
          <w:rFonts w:hint="eastAsia" w:ascii="仿宋" w:hAnsi="仿宋" w:eastAsia="仿宋" w:cs="仿宋"/>
          <w:color w:val="auto"/>
          <w:kern w:val="2"/>
          <w:sz w:val="32"/>
          <w:szCs w:val="32"/>
          <w:highlight w:val="none"/>
          <w:u w:val="none"/>
          <w:shd w:val="clear" w:color="auto" w:fill="auto"/>
          <w:lang w:val="en-US" w:eastAsia="zh-CN" w:bidi="ar-SA"/>
        </w:rPr>
        <w:t xml:space="preserve">  </w:t>
      </w:r>
      <w:r>
        <w:rPr>
          <w:rFonts w:hint="eastAsia" w:ascii="仿宋" w:hAnsi="仿宋" w:eastAsia="仿宋" w:cs="仿宋"/>
          <w:color w:val="auto"/>
          <w:sz w:val="32"/>
          <w:szCs w:val="32"/>
          <w:highlight w:val="none"/>
          <w:lang w:val="en-US" w:eastAsia="zh-CN"/>
        </w:rPr>
        <w:t>任何单位、船舶和个人不得</w:t>
      </w:r>
      <w:r>
        <w:rPr>
          <w:rFonts w:hint="eastAsia" w:ascii="仿宋" w:hAnsi="仿宋" w:eastAsia="仿宋" w:cs="仿宋"/>
          <w:color w:val="auto"/>
          <w:sz w:val="32"/>
          <w:szCs w:val="32"/>
          <w:highlight w:val="none"/>
        </w:rPr>
        <w:t>向港区内倾倒生活、生产、建筑垃圾</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油类和油性混合物及其他污水</w:t>
      </w:r>
      <w:r>
        <w:rPr>
          <w:rFonts w:hint="eastAsia" w:ascii="仿宋" w:hAnsi="仿宋" w:eastAsia="仿宋" w:cs="仿宋"/>
          <w:color w:val="auto"/>
          <w:sz w:val="32"/>
          <w:szCs w:val="32"/>
          <w:highlight w:val="none"/>
          <w:lang w:val="en-US" w:eastAsia="zh-CN"/>
        </w:rPr>
        <w:t>等废弃物；不得</w:t>
      </w:r>
      <w:r>
        <w:rPr>
          <w:rFonts w:hint="eastAsia" w:ascii="仿宋" w:hAnsi="仿宋" w:eastAsia="仿宋" w:cs="仿宋"/>
          <w:color w:val="auto"/>
          <w:sz w:val="32"/>
          <w:szCs w:val="32"/>
          <w:highlight w:val="none"/>
        </w:rPr>
        <w:t>从事可能污染渔港水域、环境的作业活动</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报废的船舶不得</w:t>
      </w:r>
      <w:r>
        <w:rPr>
          <w:rFonts w:hint="eastAsia" w:ascii="仿宋" w:hAnsi="仿宋" w:eastAsia="仿宋" w:cs="仿宋"/>
          <w:color w:val="auto"/>
          <w:sz w:val="32"/>
          <w:szCs w:val="32"/>
          <w:highlight w:val="none"/>
        </w:rPr>
        <w:t>在</w:t>
      </w:r>
      <w:r>
        <w:rPr>
          <w:rFonts w:hint="eastAsia" w:ascii="仿宋" w:hAnsi="仿宋" w:eastAsia="仿宋" w:cs="仿宋"/>
          <w:color w:val="auto"/>
          <w:sz w:val="32"/>
          <w:szCs w:val="32"/>
          <w:highlight w:val="none"/>
          <w:lang w:val="en-US" w:eastAsia="zh-CN"/>
        </w:rPr>
        <w:t>本</w:t>
      </w:r>
      <w:r>
        <w:rPr>
          <w:rFonts w:hint="eastAsia" w:ascii="仿宋" w:hAnsi="仿宋" w:eastAsia="仿宋" w:cs="仿宋"/>
          <w:color w:val="auto"/>
          <w:sz w:val="32"/>
          <w:szCs w:val="32"/>
          <w:highlight w:val="none"/>
        </w:rPr>
        <w:t>渔港</w:t>
      </w:r>
      <w:r>
        <w:rPr>
          <w:rFonts w:hint="eastAsia" w:ascii="仿宋" w:hAnsi="仿宋" w:eastAsia="仿宋" w:cs="仿宋"/>
          <w:color w:val="auto"/>
          <w:sz w:val="32"/>
          <w:szCs w:val="32"/>
          <w:highlight w:val="none"/>
          <w:lang w:val="en-US" w:eastAsia="zh-CN"/>
        </w:rPr>
        <w:t>水域范围内停泊</w:t>
      </w:r>
      <w:r>
        <w:rPr>
          <w:rFonts w:hint="eastAsia" w:ascii="仿宋" w:hAnsi="仿宋" w:eastAsia="仿宋" w:cs="仿宋"/>
          <w:color w:val="auto"/>
          <w:sz w:val="32"/>
          <w:szCs w:val="32"/>
          <w:highlight w:val="none"/>
        </w:rPr>
        <w:t>。</w:t>
      </w:r>
    </w:p>
    <w:p w14:paraId="6F8B597F">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船舶垃圾应当</w:t>
      </w:r>
      <w:r>
        <w:rPr>
          <w:rFonts w:hint="eastAsia" w:ascii="仿宋" w:hAnsi="仿宋" w:eastAsia="仿宋" w:cs="仿宋"/>
          <w:color w:val="auto"/>
          <w:sz w:val="32"/>
          <w:szCs w:val="32"/>
          <w:highlight w:val="none"/>
          <w:lang w:val="en-US" w:eastAsia="zh-CN"/>
        </w:rPr>
        <w:t>分类后</w:t>
      </w:r>
      <w:r>
        <w:rPr>
          <w:rFonts w:hint="eastAsia" w:ascii="仿宋" w:hAnsi="仿宋" w:eastAsia="仿宋" w:cs="仿宋"/>
          <w:color w:val="auto"/>
          <w:sz w:val="32"/>
          <w:szCs w:val="32"/>
          <w:highlight w:val="none"/>
        </w:rPr>
        <w:t>交由具备资质的垃圾处理单位处理，不得排入本港水域。</w:t>
      </w:r>
    </w:p>
    <w:p w14:paraId="15DE88CC">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渔船修造等可能产生污物的单位和个人应加强管理，设置污物围栏等防护措施，及时清理，防止污物进入渔港水域。</w:t>
      </w:r>
    </w:p>
    <w:p w14:paraId="1BF10F01">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第三十条</w:t>
      </w:r>
      <w:r>
        <w:rPr>
          <w:rFonts w:hint="eastAsia" w:ascii="仿宋" w:hAnsi="仿宋" w:eastAsia="仿宋" w:cs="仿宋"/>
          <w:color w:val="auto"/>
          <w:kern w:val="2"/>
          <w:sz w:val="32"/>
          <w:szCs w:val="32"/>
          <w:highlight w:val="none"/>
          <w:u w:val="none"/>
          <w:shd w:val="clear" w:color="auto" w:fill="auto"/>
          <w:lang w:val="en-US" w:eastAsia="zh-CN" w:bidi="ar-SA"/>
        </w:rPr>
        <w:t xml:space="preserve"> </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严禁无证无</w:t>
      </w:r>
      <w:r>
        <w:rPr>
          <w:rFonts w:hint="eastAsia" w:ascii="仿宋" w:hAnsi="仿宋" w:eastAsia="仿宋" w:cs="仿宋"/>
          <w:color w:val="auto"/>
          <w:sz w:val="32"/>
          <w:szCs w:val="32"/>
          <w:highlight w:val="none"/>
          <w:lang w:val="en-US" w:eastAsia="zh-CN"/>
        </w:rPr>
        <w:t>牌</w:t>
      </w:r>
      <w:r>
        <w:rPr>
          <w:rFonts w:hint="eastAsia" w:ascii="仿宋" w:hAnsi="仿宋" w:eastAsia="仿宋" w:cs="仿宋"/>
          <w:color w:val="auto"/>
          <w:sz w:val="32"/>
          <w:szCs w:val="32"/>
          <w:highlight w:val="none"/>
        </w:rPr>
        <w:t>加油站、点、车、船在渔港范围内从事非法加油活动。加油时发生跑、冒、滴、漏的，当事人应当及时采取措施予以清除。</w:t>
      </w:r>
    </w:p>
    <w:p w14:paraId="5BC9BE1E">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sz w:val="32"/>
          <w:szCs w:val="32"/>
          <w:highlight w:val="none"/>
          <w:lang w:val="en-US" w:eastAsia="zh-CN"/>
        </w:rPr>
        <w:t>第三十一条</w:t>
      </w:r>
      <w:r>
        <w:rPr>
          <w:rFonts w:hint="eastAsia" w:ascii="仿宋" w:hAnsi="仿宋" w:eastAsia="仿宋" w:cs="仿宋"/>
          <w:color w:val="auto"/>
          <w:kern w:val="2"/>
          <w:sz w:val="32"/>
          <w:szCs w:val="32"/>
          <w:highlight w:val="none"/>
          <w:u w:val="none"/>
          <w:shd w:val="clear" w:color="auto" w:fill="auto"/>
          <w:lang w:val="en-US" w:eastAsia="zh-CN" w:bidi="ar-SA"/>
        </w:rPr>
        <w:t xml:space="preserve"> </w:t>
      </w:r>
      <w:r>
        <w:rPr>
          <w:rFonts w:hint="eastAsia" w:ascii="仿宋" w:hAnsi="仿宋" w:eastAsia="仿宋" w:cs="仿宋"/>
          <w:color w:val="auto"/>
          <w:sz w:val="32"/>
          <w:szCs w:val="32"/>
          <w:highlight w:val="none"/>
          <w:lang w:val="en-US" w:eastAsia="zh-CN"/>
        </w:rPr>
        <w:t xml:space="preserve"> 应当遵守供电部门的管理规定，做到规范</w:t>
      </w:r>
      <w:r>
        <w:rPr>
          <w:rFonts w:hint="eastAsia" w:ascii="仿宋" w:hAnsi="仿宋" w:eastAsia="仿宋" w:cs="仿宋"/>
          <w:color w:val="auto"/>
          <w:sz w:val="32"/>
          <w:szCs w:val="32"/>
          <w:highlight w:val="none"/>
        </w:rPr>
        <w:t>安全用电，严禁私拉乱接岸电。</w:t>
      </w:r>
    </w:p>
    <w:p w14:paraId="2ED4D3E8">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sz w:val="32"/>
          <w:szCs w:val="32"/>
          <w:highlight w:val="none"/>
          <w:lang w:val="en-US" w:eastAsia="zh-CN"/>
        </w:rPr>
        <w:t>第三十二条</w:t>
      </w:r>
      <w:r>
        <w:rPr>
          <w:rFonts w:hint="eastAsia" w:ascii="仿宋" w:hAnsi="仿宋" w:eastAsia="仿宋" w:cs="仿宋"/>
          <w:color w:val="auto"/>
          <w:kern w:val="2"/>
          <w:sz w:val="32"/>
          <w:szCs w:val="32"/>
          <w:highlight w:val="none"/>
          <w:u w:val="none"/>
          <w:shd w:val="clear" w:color="auto" w:fill="auto"/>
          <w:lang w:val="en-US" w:eastAsia="zh-CN" w:bidi="ar-SA"/>
        </w:rPr>
        <w:t xml:space="preserve">  </w:t>
      </w:r>
      <w:r>
        <w:rPr>
          <w:rFonts w:hint="eastAsia" w:ascii="仿宋" w:hAnsi="仿宋" w:eastAsia="仿宋" w:cs="仿宋"/>
          <w:color w:val="auto"/>
          <w:sz w:val="32"/>
          <w:szCs w:val="32"/>
          <w:highlight w:val="none"/>
        </w:rPr>
        <w:t>应爱护渔港绿化及其他设施，严禁损毁渔港绿化设施，严禁在渔港边乱堆乱放杂物或违法搭建。</w:t>
      </w:r>
    </w:p>
    <w:p w14:paraId="6EB2D315">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lang w:eastAsia="zh-CN"/>
        </w:rPr>
      </w:pPr>
      <w:r>
        <w:rPr>
          <w:rFonts w:hint="eastAsia" w:ascii="楷体" w:hAnsi="楷体" w:eastAsia="楷体" w:cs="楷体"/>
          <w:b/>
          <w:bCs/>
          <w:color w:val="auto"/>
          <w:sz w:val="32"/>
          <w:szCs w:val="32"/>
          <w:highlight w:val="none"/>
          <w:lang w:val="en-US" w:eastAsia="zh-CN"/>
        </w:rPr>
        <w:t>第三十三条</w:t>
      </w:r>
      <w:r>
        <w:rPr>
          <w:rFonts w:hint="eastAsia" w:ascii="仿宋" w:hAnsi="仿宋" w:eastAsia="仿宋" w:cs="仿宋"/>
          <w:color w:val="auto"/>
          <w:kern w:val="2"/>
          <w:sz w:val="32"/>
          <w:szCs w:val="32"/>
          <w:highlight w:val="none"/>
          <w:u w:val="none"/>
          <w:shd w:val="clear" w:color="auto" w:fill="auto"/>
          <w:lang w:val="en-US" w:eastAsia="zh-CN" w:bidi="ar-SA"/>
        </w:rPr>
        <w:t xml:space="preserve">  </w:t>
      </w:r>
      <w:r>
        <w:rPr>
          <w:rFonts w:hint="eastAsia" w:ascii="仿宋" w:hAnsi="仿宋" w:eastAsia="仿宋" w:cs="仿宋"/>
          <w:color w:val="auto"/>
          <w:sz w:val="32"/>
          <w:szCs w:val="32"/>
          <w:highlight w:val="none"/>
        </w:rPr>
        <w:t>渔港水域发生污染事故应立即采取措施控制和消除污染，并尽快报告，</w:t>
      </w:r>
      <w:r>
        <w:rPr>
          <w:rFonts w:hint="eastAsia" w:ascii="仿宋" w:hAnsi="仿宋" w:eastAsia="仿宋" w:cs="仿宋"/>
          <w:color w:val="auto"/>
          <w:sz w:val="32"/>
          <w:szCs w:val="32"/>
          <w:highlight w:val="none"/>
          <w:lang w:val="en-US" w:eastAsia="zh-CN"/>
        </w:rPr>
        <w:t>湛江市海洋综合执法机构依法进行</w:t>
      </w:r>
      <w:r>
        <w:rPr>
          <w:rFonts w:hint="eastAsia" w:ascii="仿宋" w:hAnsi="仿宋" w:eastAsia="仿宋" w:cs="仿宋"/>
          <w:color w:val="auto"/>
          <w:sz w:val="32"/>
          <w:szCs w:val="32"/>
          <w:highlight w:val="none"/>
        </w:rPr>
        <w:t>调查处理</w:t>
      </w:r>
      <w:r>
        <w:rPr>
          <w:rFonts w:hint="eastAsia" w:ascii="仿宋" w:hAnsi="仿宋" w:eastAsia="仿宋" w:cs="仿宋"/>
          <w:color w:val="auto"/>
          <w:sz w:val="32"/>
          <w:szCs w:val="32"/>
          <w:highlight w:val="none"/>
          <w:lang w:eastAsia="zh-CN"/>
        </w:rPr>
        <w:t>。</w:t>
      </w:r>
    </w:p>
    <w:p w14:paraId="52307DB9">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highlight w:val="none"/>
          <w:lang w:eastAsia="zh-CN"/>
        </w:rPr>
      </w:pPr>
    </w:p>
    <w:p w14:paraId="102F39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32"/>
          <w:szCs w:val="32"/>
          <w:highlight w:val="none"/>
        </w:rPr>
      </w:pPr>
      <w:r>
        <w:rPr>
          <w:rFonts w:hint="eastAsia" w:ascii="黑体" w:hAnsi="黑体" w:eastAsia="黑体" w:cs="黑体"/>
          <w:color w:val="auto"/>
          <w:sz w:val="32"/>
          <w:szCs w:val="32"/>
          <w:highlight w:val="none"/>
        </w:rPr>
        <w:t>第六章</w:t>
      </w:r>
      <w:r>
        <w:rPr>
          <w:rFonts w:hint="eastAsia" w:ascii="黑体" w:hAnsi="黑体" w:eastAsia="黑体" w:cs="黑体"/>
          <w:color w:val="auto"/>
          <w:sz w:val="32"/>
          <w:szCs w:val="32"/>
          <w:highlight w:val="none"/>
          <w:lang w:val="en-US" w:eastAsia="zh-CN"/>
        </w:rPr>
        <w:t xml:space="preserve">  渔业</w:t>
      </w:r>
      <w:r>
        <w:rPr>
          <w:rFonts w:hint="eastAsia" w:ascii="黑体" w:hAnsi="黑体" w:eastAsia="黑体" w:cs="黑体"/>
          <w:color w:val="auto"/>
          <w:sz w:val="32"/>
          <w:szCs w:val="32"/>
          <w:highlight w:val="none"/>
        </w:rPr>
        <w:t>船舶进出渔港管理</w:t>
      </w:r>
    </w:p>
    <w:p w14:paraId="3BD6AE1E">
      <w:pPr>
        <w:keepNext w:val="0"/>
        <w:keepLines w:val="0"/>
        <w:pageBreakBefore w:val="0"/>
        <w:widowControl/>
        <w:suppressLineNumbers w:val="0"/>
        <w:kinsoku/>
        <w:wordWrap/>
        <w:overflowPunct/>
        <w:topLinePunct w:val="0"/>
        <w:autoSpaceDE/>
        <w:autoSpaceDN/>
        <w:bidi w:val="0"/>
        <w:adjustRightInd/>
        <w:snapToGrid/>
        <w:spacing w:line="240" w:lineRule="auto"/>
        <w:ind w:firstLine="643" w:firstLineChars="200"/>
        <w:jc w:val="left"/>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sz w:val="32"/>
          <w:szCs w:val="32"/>
          <w:highlight w:val="none"/>
          <w:lang w:val="en-US" w:eastAsia="zh-CN"/>
        </w:rPr>
        <w:t>第三十四条</w:t>
      </w:r>
      <w:r>
        <w:rPr>
          <w:rFonts w:hint="eastAsia" w:ascii="仿宋" w:hAnsi="仿宋" w:eastAsia="仿宋" w:cs="仿宋"/>
          <w:color w:val="auto"/>
          <w:kern w:val="2"/>
          <w:sz w:val="32"/>
          <w:szCs w:val="32"/>
          <w:highlight w:val="none"/>
          <w:u w:val="none"/>
          <w:shd w:val="clear" w:color="auto" w:fill="auto"/>
          <w:lang w:val="en-US" w:eastAsia="zh-CN" w:bidi="ar-SA"/>
        </w:rPr>
        <w:t xml:space="preserve">  </w:t>
      </w:r>
      <w:r>
        <w:rPr>
          <w:rFonts w:hint="eastAsia" w:ascii="仿宋" w:hAnsi="仿宋" w:eastAsia="仿宋" w:cs="仿宋"/>
          <w:color w:val="auto"/>
          <w:sz w:val="32"/>
          <w:szCs w:val="32"/>
          <w:highlight w:val="none"/>
        </w:rPr>
        <w:t>船舶进出渔港应当遵守渔港</w:t>
      </w:r>
      <w:r>
        <w:rPr>
          <w:rFonts w:hint="eastAsia" w:ascii="仿宋" w:hAnsi="仿宋" w:eastAsia="仿宋" w:cs="仿宋"/>
          <w:color w:val="auto"/>
          <w:sz w:val="32"/>
          <w:szCs w:val="32"/>
          <w:highlight w:val="none"/>
          <w:lang w:val="en-US" w:eastAsia="zh-CN"/>
        </w:rPr>
        <w:t>管理</w:t>
      </w:r>
      <w:r>
        <w:rPr>
          <w:rFonts w:hint="eastAsia" w:ascii="仿宋" w:hAnsi="仿宋" w:eastAsia="仿宋" w:cs="仿宋"/>
          <w:color w:val="auto"/>
          <w:sz w:val="32"/>
          <w:szCs w:val="32"/>
          <w:highlight w:val="none"/>
        </w:rPr>
        <w:t>章程</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避碰规则</w:t>
      </w:r>
      <w:r>
        <w:rPr>
          <w:rFonts w:hint="eastAsia" w:ascii="仿宋" w:hAnsi="仿宋" w:eastAsia="仿宋" w:cs="仿宋"/>
          <w:color w:val="auto"/>
          <w:sz w:val="32"/>
          <w:szCs w:val="32"/>
          <w:highlight w:val="none"/>
          <w:lang w:eastAsia="zh-CN"/>
        </w:rPr>
        <w:t>和</w:t>
      </w:r>
      <w:r>
        <w:rPr>
          <w:rFonts w:hint="eastAsia" w:ascii="仿宋" w:hAnsi="仿宋" w:eastAsia="仿宋" w:cs="仿宋"/>
          <w:color w:val="auto"/>
          <w:sz w:val="32"/>
          <w:szCs w:val="32"/>
          <w:highlight w:val="none"/>
          <w:lang w:val="en-US" w:eastAsia="zh-CN"/>
        </w:rPr>
        <w:t>渔业船舶进出渔港报告</w:t>
      </w:r>
      <w:r>
        <w:rPr>
          <w:rFonts w:hint="eastAsia" w:ascii="仿宋" w:hAnsi="仿宋" w:eastAsia="仿宋" w:cs="仿宋"/>
          <w:color w:val="auto"/>
          <w:sz w:val="32"/>
          <w:szCs w:val="32"/>
          <w:highlight w:val="none"/>
        </w:rPr>
        <w:t>等规定，向</w:t>
      </w:r>
      <w:r>
        <w:rPr>
          <w:rFonts w:hint="eastAsia" w:ascii="仿宋" w:hAnsi="仿宋" w:eastAsia="仿宋" w:cs="仿宋"/>
          <w:color w:val="auto"/>
          <w:sz w:val="32"/>
          <w:szCs w:val="32"/>
          <w:highlight w:val="none"/>
          <w:lang w:val="en-US" w:eastAsia="zh-CN"/>
        </w:rPr>
        <w:t>湛江市海洋综合执法机构</w:t>
      </w:r>
      <w:r>
        <w:rPr>
          <w:rFonts w:hint="eastAsia" w:ascii="仿宋" w:hAnsi="仿宋" w:eastAsia="仿宋" w:cs="仿宋"/>
          <w:color w:val="auto"/>
          <w:sz w:val="32"/>
          <w:szCs w:val="32"/>
          <w:highlight w:val="none"/>
        </w:rPr>
        <w:t>申请办理进出港报告手续，并接受安全检查。</w:t>
      </w:r>
    </w:p>
    <w:p w14:paraId="36A2CF12">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第三十五条</w:t>
      </w:r>
      <w:r>
        <w:rPr>
          <w:rFonts w:hint="eastAsia" w:ascii="仿宋" w:hAnsi="仿宋" w:eastAsia="仿宋" w:cs="仿宋"/>
          <w:color w:val="auto"/>
          <w:kern w:val="2"/>
          <w:sz w:val="32"/>
          <w:szCs w:val="32"/>
          <w:highlight w:val="none"/>
          <w:u w:val="none"/>
          <w:shd w:val="clear" w:color="auto" w:fill="auto"/>
          <w:lang w:val="en-US" w:eastAsia="zh-CN" w:bidi="ar-SA"/>
        </w:rPr>
        <w:t xml:space="preserve">  </w:t>
      </w:r>
      <w:r>
        <w:rPr>
          <w:rFonts w:hint="eastAsia" w:ascii="仿宋" w:hAnsi="仿宋" w:eastAsia="仿宋" w:cs="仿宋"/>
          <w:color w:val="auto"/>
          <w:sz w:val="32"/>
          <w:szCs w:val="32"/>
          <w:highlight w:val="none"/>
        </w:rPr>
        <w:t>船舶</w:t>
      </w:r>
      <w:r>
        <w:rPr>
          <w:rFonts w:hint="eastAsia" w:ascii="仿宋" w:hAnsi="仿宋" w:eastAsia="仿宋" w:cs="仿宋"/>
          <w:color w:val="auto"/>
          <w:sz w:val="32"/>
          <w:szCs w:val="32"/>
          <w:highlight w:val="none"/>
          <w:lang w:eastAsia="zh-CN"/>
        </w:rPr>
        <w:t>在</w:t>
      </w:r>
      <w:r>
        <w:rPr>
          <w:rFonts w:hint="eastAsia" w:ascii="仿宋" w:hAnsi="仿宋" w:eastAsia="仿宋" w:cs="仿宋"/>
          <w:color w:val="auto"/>
          <w:sz w:val="32"/>
          <w:szCs w:val="32"/>
          <w:highlight w:val="none"/>
        </w:rPr>
        <w:t>渔港内航行、作业、停泊，</w:t>
      </w:r>
      <w:r>
        <w:rPr>
          <w:rFonts w:hint="eastAsia" w:ascii="仿宋" w:hAnsi="仿宋" w:eastAsia="仿宋" w:cs="仿宋"/>
          <w:color w:val="auto"/>
          <w:sz w:val="32"/>
          <w:szCs w:val="32"/>
          <w:highlight w:val="none"/>
          <w:lang w:val="en-US" w:eastAsia="zh-CN"/>
        </w:rPr>
        <w:t>应当</w:t>
      </w:r>
      <w:r>
        <w:rPr>
          <w:rFonts w:hint="eastAsia" w:ascii="仿宋" w:hAnsi="仿宋" w:eastAsia="仿宋" w:cs="仿宋"/>
          <w:color w:val="auto"/>
          <w:sz w:val="32"/>
          <w:szCs w:val="32"/>
          <w:highlight w:val="none"/>
        </w:rPr>
        <w:t>按顺序进行，严禁船舶追越、争档抢位和在航道内锚泊。公务船在执行应急任务时有优先通行权。</w:t>
      </w:r>
    </w:p>
    <w:p w14:paraId="6E0E59D5">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kern w:val="2"/>
          <w:sz w:val="32"/>
          <w:szCs w:val="32"/>
          <w:highlight w:val="none"/>
          <w:u w:val="none"/>
          <w:shd w:val="clear" w:color="auto" w:fill="auto"/>
          <w:lang w:val="en-US" w:eastAsia="zh-CN" w:bidi="ar-SA"/>
        </w:rPr>
      </w:pPr>
      <w:r>
        <w:rPr>
          <w:rFonts w:hint="eastAsia" w:ascii="楷体" w:hAnsi="楷体" w:eastAsia="楷体" w:cs="楷体"/>
          <w:b/>
          <w:bCs/>
          <w:color w:val="auto"/>
          <w:sz w:val="32"/>
          <w:szCs w:val="32"/>
          <w:highlight w:val="none"/>
          <w:lang w:val="en-US" w:eastAsia="zh-CN"/>
        </w:rPr>
        <w:t>第三十六条</w:t>
      </w:r>
      <w:r>
        <w:rPr>
          <w:rFonts w:hint="eastAsia" w:ascii="仿宋" w:hAnsi="仿宋" w:eastAsia="仿宋" w:cs="仿宋"/>
          <w:color w:val="auto"/>
          <w:kern w:val="2"/>
          <w:sz w:val="32"/>
          <w:szCs w:val="32"/>
          <w:highlight w:val="none"/>
          <w:u w:val="none"/>
          <w:shd w:val="clear" w:color="auto" w:fill="auto"/>
          <w:lang w:val="en-US" w:eastAsia="zh-CN" w:bidi="ar-SA"/>
        </w:rPr>
        <w:t xml:space="preserve">  </w:t>
      </w:r>
      <w:r>
        <w:rPr>
          <w:rFonts w:hint="eastAsia" w:ascii="仿宋" w:hAnsi="仿宋" w:eastAsia="仿宋" w:cs="仿宋"/>
          <w:color w:val="auto"/>
          <w:sz w:val="32"/>
          <w:szCs w:val="32"/>
          <w:highlight w:val="none"/>
        </w:rPr>
        <w:t>港澳台渔船及非渔业船舶进出渔港，应根据规定向公安</w:t>
      </w:r>
      <w:r>
        <w:rPr>
          <w:rFonts w:hint="eastAsia" w:ascii="仿宋" w:hAnsi="仿宋" w:eastAsia="仿宋" w:cs="仿宋"/>
          <w:color w:val="auto"/>
          <w:sz w:val="32"/>
          <w:szCs w:val="32"/>
          <w:highlight w:val="none"/>
          <w:lang w:val="en-US" w:eastAsia="zh-CN"/>
        </w:rPr>
        <w:t>部门</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海洋综合执法机构</w:t>
      </w:r>
      <w:r>
        <w:rPr>
          <w:rFonts w:hint="eastAsia" w:ascii="仿宋" w:hAnsi="仿宋" w:eastAsia="仿宋" w:cs="仿宋"/>
          <w:color w:val="auto"/>
          <w:sz w:val="32"/>
          <w:szCs w:val="32"/>
          <w:highlight w:val="none"/>
        </w:rPr>
        <w:t>等相关部门报告，各相关部门</w:t>
      </w:r>
      <w:r>
        <w:rPr>
          <w:rFonts w:hint="eastAsia" w:ascii="仿宋" w:hAnsi="仿宋" w:eastAsia="仿宋" w:cs="仿宋"/>
          <w:color w:val="auto"/>
          <w:sz w:val="32"/>
          <w:szCs w:val="32"/>
          <w:highlight w:val="none"/>
          <w:lang w:val="en-US" w:eastAsia="zh-CN"/>
        </w:rPr>
        <w:t>依照各自职责做好监督检查和服务工作。</w:t>
      </w:r>
    </w:p>
    <w:p w14:paraId="074E32F8">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lang w:eastAsia="zh-CN"/>
        </w:rPr>
      </w:pPr>
      <w:r>
        <w:rPr>
          <w:rFonts w:hint="eastAsia" w:ascii="楷体" w:hAnsi="楷体" w:eastAsia="楷体" w:cs="楷体"/>
          <w:b/>
          <w:bCs/>
          <w:color w:val="auto"/>
          <w:sz w:val="32"/>
          <w:szCs w:val="32"/>
          <w:highlight w:val="none"/>
          <w:lang w:val="en-US" w:eastAsia="zh-CN"/>
        </w:rPr>
        <w:t>第三十七条</w:t>
      </w:r>
      <w:r>
        <w:rPr>
          <w:rFonts w:hint="eastAsia" w:ascii="仿宋" w:hAnsi="仿宋" w:eastAsia="仿宋" w:cs="仿宋"/>
          <w:color w:val="auto"/>
          <w:kern w:val="2"/>
          <w:sz w:val="32"/>
          <w:szCs w:val="32"/>
          <w:highlight w:val="none"/>
          <w:u w:val="none"/>
          <w:shd w:val="clear" w:color="auto" w:fill="auto"/>
          <w:lang w:val="en-US" w:eastAsia="zh-CN" w:bidi="ar-SA"/>
        </w:rPr>
        <w:t xml:space="preserve">  </w:t>
      </w:r>
      <w:r>
        <w:rPr>
          <w:rFonts w:hint="eastAsia" w:ascii="仿宋" w:hAnsi="仿宋" w:eastAsia="仿宋" w:cs="仿宋"/>
          <w:color w:val="auto"/>
          <w:sz w:val="32"/>
          <w:szCs w:val="32"/>
          <w:highlight w:val="none"/>
          <w:lang w:val="en-US" w:eastAsia="zh-CN"/>
        </w:rPr>
        <w:t>船</w:t>
      </w:r>
      <w:r>
        <w:rPr>
          <w:rFonts w:hint="eastAsia" w:ascii="仿宋" w:hAnsi="仿宋" w:eastAsia="仿宋" w:cs="仿宋"/>
          <w:color w:val="auto"/>
          <w:sz w:val="32"/>
          <w:szCs w:val="32"/>
          <w:highlight w:val="none"/>
        </w:rPr>
        <w:t>舶有下列情形之一的，</w:t>
      </w:r>
      <w:r>
        <w:rPr>
          <w:rFonts w:hint="eastAsia" w:ascii="仿宋" w:hAnsi="仿宋" w:eastAsia="仿宋" w:cs="仿宋"/>
          <w:color w:val="auto"/>
          <w:sz w:val="32"/>
          <w:szCs w:val="32"/>
          <w:highlight w:val="none"/>
          <w:lang w:val="en-US" w:eastAsia="zh-CN"/>
        </w:rPr>
        <w:t>湛江市海洋综合执法机构</w:t>
      </w:r>
      <w:r>
        <w:rPr>
          <w:rFonts w:hint="eastAsia" w:ascii="仿宋" w:hAnsi="仿宋" w:eastAsia="仿宋" w:cs="仿宋"/>
          <w:color w:val="auto"/>
          <w:sz w:val="32"/>
          <w:szCs w:val="32"/>
          <w:highlight w:val="none"/>
        </w:rPr>
        <w:t>有权禁止其离港，或责令其停航、停止作业</w:t>
      </w:r>
      <w:r>
        <w:rPr>
          <w:rFonts w:hint="eastAsia" w:ascii="仿宋" w:hAnsi="仿宋" w:eastAsia="仿宋" w:cs="仿宋"/>
          <w:color w:val="auto"/>
          <w:sz w:val="32"/>
          <w:szCs w:val="32"/>
          <w:highlight w:val="none"/>
          <w:lang w:eastAsia="zh-CN"/>
        </w:rPr>
        <w:t>：</w:t>
      </w:r>
    </w:p>
    <w:p w14:paraId="24D2D8B1">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（一）违反中华人民共和国法律、法规或者规章的。</w:t>
      </w:r>
    </w:p>
    <w:p w14:paraId="2B4D3A06">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（二）处于不适航状态的。</w:t>
      </w:r>
    </w:p>
    <w:p w14:paraId="3BE674BD">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（三）发生交通事故，手续未清的。</w:t>
      </w:r>
    </w:p>
    <w:p w14:paraId="1F3117F6">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（四）未按规定配备、开启通讯定位等终端设备，未向有关部门交付应当承担的费用，也未提供担保的</w:t>
      </w:r>
      <w:r>
        <w:rPr>
          <w:rFonts w:hint="eastAsia" w:ascii="仿宋" w:hAnsi="仿宋" w:eastAsia="仿宋" w:cs="仿宋"/>
          <w:color w:val="auto"/>
          <w:sz w:val="32"/>
          <w:szCs w:val="32"/>
          <w:highlight w:val="none"/>
          <w:lang w:eastAsia="zh-CN"/>
        </w:rPr>
        <w:t>。</w:t>
      </w:r>
    </w:p>
    <w:p w14:paraId="5CA4039C">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highlight w:val="none"/>
          <w:lang w:eastAsia="zh-CN"/>
        </w:rPr>
      </w:pPr>
    </w:p>
    <w:p w14:paraId="71DC4B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32"/>
          <w:szCs w:val="32"/>
          <w:highlight w:val="none"/>
        </w:rPr>
      </w:pPr>
      <w:r>
        <w:rPr>
          <w:rFonts w:hint="eastAsia" w:ascii="黑体" w:hAnsi="黑体" w:eastAsia="黑体" w:cs="黑体"/>
          <w:color w:val="auto"/>
          <w:sz w:val="32"/>
          <w:szCs w:val="32"/>
          <w:highlight w:val="none"/>
        </w:rPr>
        <w:t>第七章</w:t>
      </w:r>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交通事故处理</w:t>
      </w:r>
    </w:p>
    <w:p w14:paraId="2D98CE13">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sz w:val="32"/>
          <w:szCs w:val="32"/>
          <w:highlight w:val="none"/>
          <w:lang w:val="en-US" w:eastAsia="zh-CN"/>
        </w:rPr>
        <w:t>第三十八条</w:t>
      </w:r>
      <w:r>
        <w:rPr>
          <w:rFonts w:hint="eastAsia" w:ascii="仿宋" w:hAnsi="仿宋" w:eastAsia="仿宋" w:cs="仿宋"/>
          <w:color w:val="auto"/>
          <w:kern w:val="2"/>
          <w:sz w:val="32"/>
          <w:szCs w:val="32"/>
          <w:highlight w:val="none"/>
          <w:u w:val="none"/>
          <w:shd w:val="clear" w:color="auto" w:fill="auto"/>
          <w:lang w:val="en-US" w:eastAsia="zh-CN" w:bidi="ar-SA"/>
        </w:rPr>
        <w:t xml:space="preserve">  </w:t>
      </w:r>
      <w:r>
        <w:rPr>
          <w:rFonts w:hint="eastAsia" w:ascii="仿宋" w:hAnsi="仿宋" w:eastAsia="仿宋" w:cs="仿宋"/>
          <w:color w:val="auto"/>
          <w:sz w:val="32"/>
          <w:szCs w:val="32"/>
          <w:highlight w:val="none"/>
        </w:rPr>
        <w:t>渔港水域内的交通事故由</w:t>
      </w:r>
      <w:r>
        <w:rPr>
          <w:rFonts w:hint="eastAsia" w:ascii="仿宋" w:hAnsi="仿宋" w:eastAsia="仿宋" w:cs="仿宋"/>
          <w:color w:val="auto"/>
          <w:sz w:val="32"/>
          <w:szCs w:val="32"/>
          <w:highlight w:val="none"/>
          <w:lang w:val="en-US" w:eastAsia="zh-CN"/>
        </w:rPr>
        <w:t>湛江市海洋综合执法机构</w:t>
      </w:r>
      <w:r>
        <w:rPr>
          <w:rFonts w:hint="eastAsia" w:ascii="仿宋" w:hAnsi="仿宋" w:eastAsia="仿宋" w:cs="仿宋"/>
          <w:color w:val="auto"/>
          <w:sz w:val="32"/>
          <w:szCs w:val="32"/>
          <w:highlight w:val="none"/>
        </w:rPr>
        <w:t>查明原因，判明责任，作出处理决定。渔港内发生水上交通事故的，当事人应当及时向</w:t>
      </w:r>
      <w:r>
        <w:rPr>
          <w:rFonts w:hint="eastAsia" w:ascii="仿宋" w:hAnsi="仿宋" w:eastAsia="仿宋" w:cs="仿宋"/>
          <w:color w:val="auto"/>
          <w:sz w:val="32"/>
          <w:szCs w:val="32"/>
          <w:highlight w:val="none"/>
          <w:lang w:val="en-US" w:eastAsia="zh-CN"/>
        </w:rPr>
        <w:t>湛江市海洋综合执法机构</w:t>
      </w:r>
      <w:r>
        <w:rPr>
          <w:rFonts w:hint="eastAsia" w:ascii="仿宋" w:hAnsi="仿宋" w:eastAsia="仿宋" w:cs="仿宋"/>
          <w:color w:val="auto"/>
          <w:sz w:val="32"/>
          <w:szCs w:val="32"/>
          <w:highlight w:val="none"/>
        </w:rPr>
        <w:t>报告，接受处理；渔业船舶在港外发生的交通事故，应在进港四十八小时内向</w:t>
      </w:r>
      <w:r>
        <w:rPr>
          <w:rFonts w:hint="eastAsia" w:ascii="仿宋" w:hAnsi="仿宋" w:eastAsia="仿宋" w:cs="仿宋"/>
          <w:color w:val="auto"/>
          <w:sz w:val="32"/>
          <w:szCs w:val="32"/>
          <w:highlight w:val="none"/>
          <w:lang w:val="en-US" w:eastAsia="zh-CN"/>
        </w:rPr>
        <w:t>湛江市海洋综合执法机构</w:t>
      </w:r>
      <w:r>
        <w:rPr>
          <w:rFonts w:hint="eastAsia" w:ascii="仿宋" w:hAnsi="仿宋" w:eastAsia="仿宋" w:cs="仿宋"/>
          <w:color w:val="auto"/>
          <w:sz w:val="32"/>
          <w:szCs w:val="32"/>
          <w:highlight w:val="none"/>
        </w:rPr>
        <w:t>递交事故报告书和有关材料。</w:t>
      </w:r>
    </w:p>
    <w:p w14:paraId="7AEC3861">
      <w:pPr>
        <w:keepNext w:val="0"/>
        <w:keepLines w:val="0"/>
        <w:pageBreakBefore w:val="0"/>
        <w:widowControl/>
        <w:suppressLineNumbers w:val="0"/>
        <w:kinsoku/>
        <w:wordWrap/>
        <w:overflowPunct/>
        <w:topLinePunct w:val="0"/>
        <w:autoSpaceDE/>
        <w:autoSpaceDN/>
        <w:bidi w:val="0"/>
        <w:adjustRightInd/>
        <w:snapToGrid/>
        <w:spacing w:line="240" w:lineRule="auto"/>
        <w:ind w:firstLine="643" w:firstLineChars="200"/>
        <w:jc w:val="both"/>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第三十九条</w:t>
      </w:r>
      <w:r>
        <w:rPr>
          <w:rFonts w:hint="eastAsia" w:ascii="仿宋" w:hAnsi="仿宋" w:eastAsia="仿宋" w:cs="仿宋"/>
          <w:color w:val="auto"/>
          <w:kern w:val="2"/>
          <w:sz w:val="32"/>
          <w:szCs w:val="32"/>
          <w:highlight w:val="none"/>
          <w:u w:val="none"/>
          <w:shd w:val="clear" w:color="auto" w:fill="auto"/>
          <w:lang w:val="en-US" w:eastAsia="zh-CN" w:bidi="ar-SA"/>
        </w:rPr>
        <w:t xml:space="preserve">  </w:t>
      </w:r>
      <w:r>
        <w:rPr>
          <w:rFonts w:hint="eastAsia" w:ascii="仿宋" w:hAnsi="仿宋" w:eastAsia="仿宋" w:cs="仿宋"/>
          <w:color w:val="auto"/>
          <w:sz w:val="32"/>
          <w:szCs w:val="32"/>
          <w:highlight w:val="none"/>
          <w:lang w:val="en-US" w:eastAsia="zh-CN"/>
        </w:rPr>
        <w:t>渔港水域内发生交通事故引起的民事纠纷</w:t>
      </w:r>
      <w:r>
        <w:rPr>
          <w:rFonts w:hint="eastAsia" w:ascii="仿宋" w:hAnsi="仿宋" w:eastAsia="仿宋" w:cs="仿宋"/>
          <w:color w:val="auto"/>
          <w:sz w:val="32"/>
          <w:szCs w:val="32"/>
          <w:highlight w:val="none"/>
        </w:rPr>
        <w:t>，双方当事人可以协商处理，协商不成的可以向渔政渔港监督管理机构申请调解处理，调解不成或者不愿意调解的，当事人可以向人民法院起诉</w:t>
      </w:r>
      <w:r>
        <w:rPr>
          <w:rFonts w:hint="eastAsia" w:ascii="仿宋" w:hAnsi="仿宋" w:eastAsia="仿宋" w:cs="仿宋"/>
          <w:color w:val="auto"/>
          <w:sz w:val="32"/>
          <w:szCs w:val="32"/>
          <w:highlight w:val="none"/>
          <w:lang w:eastAsia="zh-CN"/>
        </w:rPr>
        <w:t>。</w:t>
      </w:r>
    </w:p>
    <w:p w14:paraId="7CC7573E">
      <w:pPr>
        <w:keepNext w:val="0"/>
        <w:keepLines w:val="0"/>
        <w:pageBreakBefore w:val="0"/>
        <w:widowControl/>
        <w:suppressLineNumbers w:val="0"/>
        <w:kinsoku/>
        <w:wordWrap/>
        <w:overflowPunct/>
        <w:topLinePunct w:val="0"/>
        <w:autoSpaceDE/>
        <w:autoSpaceDN/>
        <w:bidi w:val="0"/>
        <w:adjustRightInd/>
        <w:snapToGrid/>
        <w:spacing w:line="240" w:lineRule="auto"/>
        <w:ind w:firstLine="640" w:firstLineChars="200"/>
        <w:jc w:val="both"/>
        <w:rPr>
          <w:rFonts w:hint="eastAsia" w:ascii="仿宋" w:hAnsi="仿宋" w:eastAsia="仿宋" w:cs="仿宋"/>
          <w:color w:val="auto"/>
          <w:sz w:val="32"/>
          <w:szCs w:val="32"/>
          <w:highlight w:val="none"/>
          <w:lang w:val="en-US" w:eastAsia="zh-CN"/>
        </w:rPr>
      </w:pPr>
    </w:p>
    <w:p w14:paraId="131649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32"/>
          <w:szCs w:val="32"/>
          <w:highlight w:val="none"/>
        </w:rPr>
      </w:pPr>
      <w:r>
        <w:rPr>
          <w:rFonts w:hint="eastAsia" w:ascii="黑体" w:hAnsi="黑体" w:eastAsia="黑体" w:cs="黑体"/>
          <w:color w:val="auto"/>
          <w:sz w:val="32"/>
          <w:szCs w:val="32"/>
          <w:highlight w:val="none"/>
        </w:rPr>
        <w:t>第八章</w:t>
      </w:r>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附则</w:t>
      </w:r>
    </w:p>
    <w:p w14:paraId="2A5BF9A8">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第四十条</w:t>
      </w:r>
      <w:r>
        <w:rPr>
          <w:rFonts w:hint="eastAsia" w:ascii="仿宋" w:hAnsi="仿宋" w:eastAsia="仿宋" w:cs="仿宋"/>
          <w:color w:val="auto"/>
          <w:kern w:val="2"/>
          <w:sz w:val="32"/>
          <w:szCs w:val="32"/>
          <w:highlight w:val="none"/>
          <w:u w:val="none"/>
          <w:shd w:val="clear" w:color="auto" w:fill="auto"/>
          <w:lang w:val="en-US" w:eastAsia="zh-CN" w:bidi="ar-SA"/>
        </w:rPr>
        <w:t xml:space="preserve">  </w:t>
      </w:r>
      <w:r>
        <w:rPr>
          <w:rFonts w:hint="eastAsia" w:ascii="仿宋" w:hAnsi="仿宋" w:eastAsia="仿宋" w:cs="仿宋"/>
          <w:color w:val="auto"/>
          <w:sz w:val="32"/>
          <w:szCs w:val="32"/>
          <w:highlight w:val="none"/>
          <w:lang w:val="en-US" w:eastAsia="zh-CN"/>
        </w:rPr>
        <w:t>发生公共卫生突发事件时，事发单位应当立即采取有效措施，并通知卫生防疫、检验检疫部门，做好应急救援工作。</w:t>
      </w:r>
    </w:p>
    <w:p w14:paraId="418B59DA">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第四十一条</w:t>
      </w:r>
      <w:r>
        <w:rPr>
          <w:rFonts w:hint="eastAsia" w:ascii="仿宋" w:hAnsi="仿宋" w:eastAsia="仿宋" w:cs="仿宋"/>
          <w:color w:val="auto"/>
          <w:kern w:val="2"/>
          <w:sz w:val="32"/>
          <w:szCs w:val="32"/>
          <w:highlight w:val="none"/>
          <w:u w:val="none"/>
          <w:shd w:val="clear" w:color="auto" w:fill="auto"/>
          <w:lang w:val="en-US" w:eastAsia="zh-CN" w:bidi="ar-SA"/>
        </w:rPr>
        <w:t xml:space="preserve">  </w:t>
      </w:r>
      <w:r>
        <w:rPr>
          <w:rFonts w:hint="eastAsia" w:ascii="仿宋" w:hAnsi="仿宋" w:eastAsia="仿宋" w:cs="仿宋"/>
          <w:color w:val="auto"/>
          <w:sz w:val="32"/>
          <w:szCs w:val="32"/>
          <w:highlight w:val="none"/>
          <w:lang w:val="en-US" w:eastAsia="zh-CN"/>
        </w:rPr>
        <w:t xml:space="preserve">对违反渔港有关管理规定的，由各职能部门按其性质,依法予以处理。 </w:t>
      </w:r>
    </w:p>
    <w:p w14:paraId="52BB74E1">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sz w:val="32"/>
          <w:szCs w:val="32"/>
          <w:highlight w:val="none"/>
          <w:lang w:val="en-US" w:eastAsia="zh-CN"/>
        </w:rPr>
        <w:t>第四十二条</w:t>
      </w:r>
      <w:r>
        <w:rPr>
          <w:rFonts w:hint="eastAsia" w:ascii="仿宋" w:hAnsi="仿宋" w:eastAsia="仿宋" w:cs="仿宋"/>
          <w:color w:val="auto"/>
          <w:kern w:val="2"/>
          <w:sz w:val="32"/>
          <w:szCs w:val="32"/>
          <w:highlight w:val="none"/>
          <w:u w:val="none"/>
          <w:shd w:val="clear" w:color="auto" w:fill="auto"/>
          <w:lang w:val="en-US" w:eastAsia="zh-CN" w:bidi="ar-SA"/>
        </w:rPr>
        <w:t xml:space="preserve">  </w:t>
      </w:r>
      <w:r>
        <w:rPr>
          <w:rFonts w:hint="eastAsia" w:ascii="仿宋" w:hAnsi="仿宋" w:eastAsia="仿宋" w:cs="仿宋"/>
          <w:color w:val="auto"/>
          <w:sz w:val="32"/>
          <w:szCs w:val="32"/>
          <w:highlight w:val="none"/>
          <w:lang w:val="en-US" w:eastAsia="zh-CN"/>
        </w:rPr>
        <w:t>本章程由霞山区农业农村局负责解释。</w:t>
      </w:r>
    </w:p>
    <w:p w14:paraId="181CA0ED">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第四十三条</w:t>
      </w:r>
      <w:r>
        <w:rPr>
          <w:rFonts w:hint="eastAsia" w:ascii="仿宋" w:hAnsi="仿宋" w:eastAsia="仿宋" w:cs="仿宋"/>
          <w:color w:val="auto"/>
          <w:kern w:val="2"/>
          <w:sz w:val="32"/>
          <w:szCs w:val="32"/>
          <w:highlight w:val="none"/>
          <w:u w:val="none"/>
          <w:shd w:val="clear" w:color="auto" w:fill="auto"/>
          <w:lang w:val="en-US" w:eastAsia="zh-CN" w:bidi="ar-SA"/>
        </w:rPr>
        <w:t xml:space="preserve">  </w:t>
      </w:r>
      <w:r>
        <w:rPr>
          <w:rFonts w:hint="eastAsia" w:ascii="仿宋" w:hAnsi="仿宋" w:eastAsia="仿宋" w:cs="仿宋"/>
          <w:color w:val="auto"/>
          <w:sz w:val="32"/>
          <w:szCs w:val="32"/>
          <w:highlight w:val="none"/>
          <w:lang w:val="en-US" w:eastAsia="zh-CN"/>
        </w:rPr>
        <w:t>本章程未规定事项或规定事项与上级规定冲突的，按上级规定执行。</w:t>
      </w:r>
    </w:p>
    <w:p w14:paraId="4B87E46F">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第四十四条</w:t>
      </w:r>
      <w:r>
        <w:rPr>
          <w:rFonts w:hint="eastAsia" w:ascii="仿宋" w:hAnsi="仿宋" w:eastAsia="仿宋" w:cs="仿宋"/>
          <w:color w:val="auto"/>
          <w:kern w:val="2"/>
          <w:sz w:val="32"/>
          <w:szCs w:val="32"/>
          <w:highlight w:val="none"/>
          <w:u w:val="none"/>
          <w:shd w:val="clear" w:color="auto" w:fill="auto"/>
          <w:lang w:val="en-US" w:eastAsia="zh-CN" w:bidi="ar-SA"/>
        </w:rPr>
        <w:t xml:space="preserve">  </w:t>
      </w:r>
      <w:r>
        <w:rPr>
          <w:rFonts w:hint="eastAsia" w:ascii="仿宋" w:hAnsi="仿宋" w:eastAsia="仿宋" w:cs="仿宋"/>
          <w:color w:val="auto"/>
          <w:sz w:val="32"/>
          <w:szCs w:val="32"/>
          <w:highlight w:val="none"/>
          <w:lang w:val="en-US" w:eastAsia="zh-CN"/>
        </w:rPr>
        <w:t>本章程于印发之日起执行，有效期5年。原《霞山渔业港区安全监督管理规定》同时废止。</w:t>
      </w:r>
    </w:p>
    <w:p w14:paraId="277C5B55">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highlight w:val="none"/>
        </w:rPr>
      </w:pPr>
    </w:p>
    <w:p w14:paraId="14253196">
      <w:pPr>
        <w:keepNext w:val="0"/>
        <w:keepLines w:val="0"/>
        <w:pageBreakBefore w:val="0"/>
        <w:widowControl/>
        <w:suppressLineNumbers w:val="0"/>
        <w:kinsoku/>
        <w:wordWrap/>
        <w:overflowPunct/>
        <w:topLinePunct w:val="0"/>
        <w:autoSpaceDE/>
        <w:autoSpaceDN/>
        <w:bidi w:val="0"/>
        <w:adjustRightInd/>
        <w:snapToGrid/>
        <w:spacing w:line="240" w:lineRule="auto"/>
        <w:ind w:firstLine="640" w:firstLineChars="200"/>
        <w:jc w:val="both"/>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附件：1.湛江市霞山区湛江港渔业港区港界图</w:t>
      </w:r>
    </w:p>
    <w:p w14:paraId="0E9DF660">
      <w:pPr>
        <w:keepNext w:val="0"/>
        <w:keepLines w:val="0"/>
        <w:pageBreakBefore w:val="0"/>
        <w:widowControl/>
        <w:suppressLineNumbers w:val="0"/>
        <w:kinsoku/>
        <w:wordWrap/>
        <w:overflowPunct/>
        <w:topLinePunct w:val="0"/>
        <w:autoSpaceDE/>
        <w:autoSpaceDN/>
        <w:bidi w:val="0"/>
        <w:adjustRightInd/>
        <w:snapToGrid/>
        <w:spacing w:line="240" w:lineRule="auto"/>
        <w:ind w:firstLine="1600" w:firstLineChars="500"/>
        <w:jc w:val="both"/>
        <w:rPr>
          <w:rFonts w:hint="eastAsia" w:ascii="仿宋" w:hAnsi="仿宋" w:eastAsia="仿宋" w:cs="仿宋"/>
          <w:color w:val="auto"/>
          <w:sz w:val="32"/>
          <w:szCs w:val="32"/>
          <w:highlight w:val="none"/>
          <w:lang w:val="en-US" w:eastAsia="zh-CN"/>
        </w:rPr>
        <w:sectPr>
          <w:footerReference r:id="rId3" w:type="default"/>
          <w:pgSz w:w="11906" w:h="16838"/>
          <w:pgMar w:top="2098" w:right="1474" w:bottom="1984" w:left="1587" w:header="851" w:footer="992" w:gutter="0"/>
          <w:cols w:space="425" w:num="1"/>
          <w:docGrid w:type="lines" w:linePitch="312" w:charSpace="0"/>
        </w:sectPr>
      </w:pPr>
      <w:r>
        <w:rPr>
          <w:rFonts w:hint="eastAsia" w:ascii="仿宋" w:hAnsi="仿宋" w:eastAsia="仿宋" w:cs="仿宋"/>
          <w:color w:val="auto"/>
          <w:sz w:val="32"/>
          <w:szCs w:val="32"/>
          <w:highlight w:val="none"/>
          <w:lang w:val="en-US" w:eastAsia="zh-CN"/>
        </w:rPr>
        <w:t>2.湛江市霞山区湛江港渔业港区功能区划图</w:t>
      </w:r>
    </w:p>
    <w:p w14:paraId="755F2BB5">
      <w:pPr>
        <w:keepNext w:val="0"/>
        <w:keepLines w:val="0"/>
        <w:pageBreakBefore w:val="0"/>
        <w:widowControl/>
        <w:suppressLineNumbers w:val="0"/>
        <w:kinsoku/>
        <w:wordWrap/>
        <w:overflowPunct/>
        <w:topLinePunct w:val="0"/>
        <w:autoSpaceDE/>
        <w:autoSpaceDN/>
        <w:bidi w:val="0"/>
        <w:adjustRightInd/>
        <w:snapToGrid/>
        <w:spacing w:line="240" w:lineRule="auto"/>
        <w:ind w:firstLine="640" w:firstLineChars="200"/>
        <w:jc w:val="both"/>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附件1</w:t>
      </w:r>
    </w:p>
    <w:p w14:paraId="6D493243">
      <w:pPr>
        <w:keepNext w:val="0"/>
        <w:keepLines w:val="0"/>
        <w:pageBreakBefore w:val="0"/>
        <w:widowControl/>
        <w:suppressLineNumbers w:val="0"/>
        <w:kinsoku/>
        <w:wordWrap/>
        <w:overflowPunct/>
        <w:topLinePunct w:val="0"/>
        <w:autoSpaceDE/>
        <w:autoSpaceDN/>
        <w:bidi w:val="0"/>
        <w:adjustRightInd/>
        <w:snapToGrid/>
        <w:spacing w:line="240" w:lineRule="auto"/>
        <w:ind w:firstLine="640" w:firstLineChars="200"/>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湛江市霞山区湛江港渔业港区港界图</w:t>
      </w:r>
    </w:p>
    <w:p w14:paraId="61127E85">
      <w:pPr>
        <w:keepNext w:val="0"/>
        <w:keepLines w:val="0"/>
        <w:pageBreakBefore w:val="0"/>
        <w:kinsoku/>
        <w:wordWrap/>
        <w:overflowPunct/>
        <w:topLinePunct w:val="0"/>
        <w:autoSpaceDE/>
        <w:autoSpaceDN/>
        <w:bidi w:val="0"/>
        <w:adjustRightInd/>
        <w:snapToGrid/>
        <w:spacing w:line="240" w:lineRule="auto"/>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drawing>
          <wp:inline distT="0" distB="0" distL="0" distR="0">
            <wp:extent cx="13097510" cy="7149465"/>
            <wp:effectExtent l="0" t="0" r="8890" b="381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a:picLocks noChangeAspect="1"/>
                    </pic:cNvPicPr>
                  </pic:nvPicPr>
                  <pic:blipFill>
                    <a:blip r:embed="rId5" cstate="print"/>
                    <a:stretch>
                      <a:fillRect/>
                    </a:stretch>
                  </pic:blipFill>
                  <pic:spPr>
                    <a:xfrm>
                      <a:off x="0" y="0"/>
                      <a:ext cx="13097510" cy="7149465"/>
                    </a:xfrm>
                    <a:prstGeom prst="rect">
                      <a:avLst/>
                    </a:prstGeom>
                  </pic:spPr>
                </pic:pic>
              </a:graphicData>
            </a:graphic>
          </wp:inline>
        </w:drawing>
      </w:r>
    </w:p>
    <w:p w14:paraId="2075F9F7">
      <w:pPr>
        <w:keepNext w:val="0"/>
        <w:keepLines w:val="0"/>
        <w:pageBreakBefore w:val="0"/>
        <w:widowControl/>
        <w:suppressLineNumbers w:val="0"/>
        <w:kinsoku/>
        <w:wordWrap/>
        <w:overflowPunct/>
        <w:topLinePunct w:val="0"/>
        <w:autoSpaceDE/>
        <w:autoSpaceDN/>
        <w:bidi w:val="0"/>
        <w:adjustRightInd/>
        <w:snapToGrid/>
        <w:spacing w:line="240" w:lineRule="auto"/>
        <w:ind w:firstLine="640" w:firstLineChars="200"/>
        <w:jc w:val="both"/>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附件2</w:t>
      </w:r>
    </w:p>
    <w:p w14:paraId="317347F8">
      <w:pPr>
        <w:keepNext w:val="0"/>
        <w:keepLines w:val="0"/>
        <w:pageBreakBefore w:val="0"/>
        <w:widowControl/>
        <w:suppressLineNumbers w:val="0"/>
        <w:kinsoku/>
        <w:wordWrap/>
        <w:overflowPunct/>
        <w:topLinePunct w:val="0"/>
        <w:autoSpaceDE/>
        <w:autoSpaceDN/>
        <w:bidi w:val="0"/>
        <w:adjustRightInd/>
        <w:snapToGrid/>
        <w:spacing w:line="240" w:lineRule="auto"/>
        <w:ind w:firstLine="640" w:firstLineChars="200"/>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湛江市霞山区湛江港渔业港区功能区划图</w:t>
      </w:r>
    </w:p>
    <w:p w14:paraId="683E4ED2">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drawing>
          <wp:inline distT="0" distB="0" distL="114300" distR="114300">
            <wp:extent cx="13287375" cy="7239000"/>
            <wp:effectExtent l="0" t="0" r="0" b="0"/>
            <wp:docPr id="3" name="图片 3" descr="d6820ba51c2be6d6d62ea3f495b2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6820ba51c2be6d6d62ea3f495b2db7"/>
                    <pic:cNvPicPr>
                      <a:picLocks noChangeAspect="1"/>
                    </pic:cNvPicPr>
                  </pic:nvPicPr>
                  <pic:blipFill>
                    <a:blip r:embed="rId6"/>
                    <a:stretch>
                      <a:fillRect/>
                    </a:stretch>
                  </pic:blipFill>
                  <pic:spPr>
                    <a:xfrm>
                      <a:off x="0" y="0"/>
                      <a:ext cx="13287375" cy="7239000"/>
                    </a:xfrm>
                    <a:prstGeom prst="rect">
                      <a:avLst/>
                    </a:prstGeom>
                  </pic:spPr>
                </pic:pic>
              </a:graphicData>
            </a:graphic>
          </wp:inline>
        </w:drawing>
      </w:r>
    </w:p>
    <w:sectPr>
      <w:pgSz w:w="23811" w:h="16838" w:orient="landscape"/>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38807">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6F9109">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96F9109">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4YzMyZWU5ZjQ2MzM4YmJjNzM0NWZiZDg1Yzc3OTcifQ=="/>
  </w:docVars>
  <w:rsids>
    <w:rsidRoot w:val="00000000"/>
    <w:rsid w:val="004C27D8"/>
    <w:rsid w:val="005947C7"/>
    <w:rsid w:val="00D77CDE"/>
    <w:rsid w:val="014D0B1B"/>
    <w:rsid w:val="03E8513A"/>
    <w:rsid w:val="04E155B2"/>
    <w:rsid w:val="09C0632E"/>
    <w:rsid w:val="0C4274CE"/>
    <w:rsid w:val="13923173"/>
    <w:rsid w:val="13934C7F"/>
    <w:rsid w:val="15A37D36"/>
    <w:rsid w:val="16C3120C"/>
    <w:rsid w:val="201C373B"/>
    <w:rsid w:val="21240AF9"/>
    <w:rsid w:val="21B10FA8"/>
    <w:rsid w:val="21CD3FCC"/>
    <w:rsid w:val="22396826"/>
    <w:rsid w:val="27207FB4"/>
    <w:rsid w:val="2C091017"/>
    <w:rsid w:val="2D045C82"/>
    <w:rsid w:val="2D580BF8"/>
    <w:rsid w:val="2F9E5F1A"/>
    <w:rsid w:val="34655258"/>
    <w:rsid w:val="399F120C"/>
    <w:rsid w:val="39B90520"/>
    <w:rsid w:val="39CE0946"/>
    <w:rsid w:val="3B3169E2"/>
    <w:rsid w:val="3C2E3E12"/>
    <w:rsid w:val="3F9F55FE"/>
    <w:rsid w:val="42B42DE2"/>
    <w:rsid w:val="47B265AF"/>
    <w:rsid w:val="4AC26B09"/>
    <w:rsid w:val="4D412B37"/>
    <w:rsid w:val="4DD02431"/>
    <w:rsid w:val="4EB46B62"/>
    <w:rsid w:val="4FC926E8"/>
    <w:rsid w:val="50211926"/>
    <w:rsid w:val="50744D49"/>
    <w:rsid w:val="50EB0147"/>
    <w:rsid w:val="525407F9"/>
    <w:rsid w:val="531F1029"/>
    <w:rsid w:val="53740BBC"/>
    <w:rsid w:val="58636BCC"/>
    <w:rsid w:val="592941F7"/>
    <w:rsid w:val="5CC52280"/>
    <w:rsid w:val="604B0A86"/>
    <w:rsid w:val="61C84EF5"/>
    <w:rsid w:val="62AA0157"/>
    <w:rsid w:val="632E2B36"/>
    <w:rsid w:val="63674E2E"/>
    <w:rsid w:val="642A7ACC"/>
    <w:rsid w:val="657517C3"/>
    <w:rsid w:val="68074ED4"/>
    <w:rsid w:val="6BFA2005"/>
    <w:rsid w:val="6EFA06B8"/>
    <w:rsid w:val="70A369B7"/>
    <w:rsid w:val="73587CAD"/>
    <w:rsid w:val="7476258E"/>
    <w:rsid w:val="76577EEE"/>
    <w:rsid w:val="781520BE"/>
    <w:rsid w:val="79154F88"/>
    <w:rsid w:val="79C90059"/>
    <w:rsid w:val="7C1941E8"/>
    <w:rsid w:val="7C1F350C"/>
    <w:rsid w:val="7EA63A70"/>
    <w:rsid w:val="7F5B0C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annotation text"/>
    <w:basedOn w:val="1"/>
    <w:autoRedefine/>
    <w:qFormat/>
    <w:uiPriority w:val="0"/>
    <w:pPr>
      <w:jc w:val="left"/>
    </w:p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rPr>
      <w:sz w:val="24"/>
    </w:rPr>
  </w:style>
  <w:style w:type="table" w:styleId="7">
    <w:name w:val="Table Grid"/>
    <w:basedOn w:val="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Body text|1"/>
    <w:basedOn w:val="1"/>
    <w:autoRedefine/>
    <w:qFormat/>
    <w:uiPriority w:val="0"/>
    <w:pPr>
      <w:widowControl w:val="0"/>
      <w:shd w:val="clear" w:color="auto" w:fill="auto"/>
      <w:spacing w:line="418" w:lineRule="auto"/>
      <w:ind w:firstLine="400"/>
    </w:pPr>
    <w:rPr>
      <w:rFonts w:ascii="宋体" w:hAnsi="宋体" w:eastAsia="宋体" w:cs="宋体"/>
      <w:sz w:val="30"/>
      <w:szCs w:val="30"/>
      <w:u w:val="none"/>
      <w:shd w:val="clear" w:color="auto" w:fill="auto"/>
      <w:lang w:val="zh-TW" w:eastAsia="zh-TW" w:bidi="zh-TW"/>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4450</Words>
  <Characters>5470</Characters>
  <Lines>0</Lines>
  <Paragraphs>0</Paragraphs>
  <TotalTime>38</TotalTime>
  <ScaleCrop>false</ScaleCrop>
  <LinksUpToDate>false</LinksUpToDate>
  <CharactersWithSpaces>5597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2024-12-05T01:57:00Z</dcterms:created>
  <dc:creator>Administrator</dc:creator>
  <cp:lastModifiedBy>H.S</cp:lastModifiedBy>
  <dcterms:modified xsi:type="dcterms:W3CDTF">2025-04-02T09:43:26Z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14407FD069B0456588E7E4EC52C2BC32_13</vt:lpwstr>
  </property>
  <property fmtid="{D5CDD505-2E9C-101B-9397-08002B2CF9AE}" pid="4" name="KSOTemplateDocerSaveRecord">
    <vt:lpwstr>eyJoZGlkIjoiMDkxZTNkYTE4MzcwZjBiNTE3ZTU5YTYxZWM3NjgzODMiLCJ1c2VySWQiOiIzNzM5NTExMzQifQ==</vt:lpwstr>
  </property>
</Properties>
</file>