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3420"/>
        </w:tabs>
        <w:wordWrap w:val="0"/>
        <w:spacing w:line="580" w:lineRule="exact"/>
        <w:jc w:val="right"/>
        <w:rPr>
          <w:rFonts w:hint="eastAsia" w:ascii="仿宋_GB2312" w:hAnsi="仿宋_GB2312" w:eastAsia="仿宋_GB2312" w:cs="仿宋_GB2312"/>
          <w:sz w:val="32"/>
          <w:szCs w:val="32"/>
        </w:rPr>
      </w:pPr>
    </w:p>
    <w:p>
      <w:pPr>
        <w:pStyle w:val="2"/>
        <w:wordWrap/>
        <w:rPr>
          <w:rFonts w:hint="eastAsia" w:ascii="仿宋_GB2312" w:hAnsi="仿宋_GB2312" w:eastAsia="仿宋_GB2312" w:cs="仿宋_GB2312"/>
          <w:sz w:val="32"/>
          <w:szCs w:val="32"/>
        </w:rPr>
      </w:pPr>
    </w:p>
    <w:p>
      <w:pPr>
        <w:spacing w:line="480" w:lineRule="exact"/>
        <w:jc w:val="right"/>
        <w:rPr>
          <w:rFonts w:hint="eastAsia" w:ascii="仿宋_GB2312" w:eastAsia="仿宋_GB2312"/>
          <w:sz w:val="32"/>
        </w:rPr>
      </w:pPr>
      <w:bookmarkStart w:id="0" w:name="_GoBack"/>
      <w:bookmarkEnd w:id="0"/>
      <w:r>
        <w:rPr>
          <w:rFonts w:hint="eastAsia" w:ascii="仿宋_GB2312" w:eastAsia="仿宋_GB2312"/>
          <w:sz w:val="32"/>
        </w:rPr>
        <w:t>湛环建霞〔20</w:t>
      </w:r>
      <w:r>
        <w:rPr>
          <w:rFonts w:hint="eastAsia" w:ascii="仿宋_GB2312" w:eastAsia="仿宋_GB2312"/>
          <w:sz w:val="32"/>
          <w:lang w:val="en-US" w:eastAsia="zh-CN"/>
        </w:rPr>
        <w:t>22</w:t>
      </w:r>
      <w:r>
        <w:rPr>
          <w:rFonts w:hint="eastAsia" w:ascii="仿宋_GB2312" w:eastAsia="仿宋_GB2312"/>
          <w:sz w:val="32"/>
        </w:rPr>
        <w:t>〕</w:t>
      </w:r>
      <w:r>
        <w:rPr>
          <w:rFonts w:hint="eastAsia" w:ascii="仿宋_GB2312" w:eastAsia="仿宋_GB2312"/>
          <w:sz w:val="32"/>
          <w:lang w:val="en-US" w:eastAsia="zh-CN"/>
        </w:rPr>
        <w:t>1</w:t>
      </w:r>
      <w:r>
        <w:rPr>
          <w:rFonts w:hint="eastAsia" w:ascii="仿宋_GB2312" w:eastAsia="仿宋_GB2312"/>
          <w:sz w:val="32"/>
        </w:rPr>
        <w:t>号</w:t>
      </w:r>
    </w:p>
    <w:p>
      <w:pPr>
        <w:spacing w:line="540" w:lineRule="exact"/>
        <w:rPr>
          <w:rFonts w:hint="eastAsia" w:ascii="仿宋_GB2312" w:eastAsia="仿宋_GB2312"/>
          <w:sz w:val="32"/>
          <w:szCs w:val="20"/>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w w:val="95"/>
          <w:sz w:val="44"/>
          <w:szCs w:val="44"/>
        </w:rPr>
      </w:pPr>
      <w:r>
        <w:rPr>
          <w:rFonts w:hint="eastAsia" w:ascii="方正小标宋简体" w:hAnsi="方正小标宋简体" w:eastAsia="方正小标宋简体" w:cs="方正小标宋简体"/>
          <w:w w:val="95"/>
          <w:sz w:val="44"/>
          <w:szCs w:val="44"/>
        </w:rPr>
        <w:t>关于湛江市霞山区广陆瓶盖有限公司年</w:t>
      </w:r>
      <w:r>
        <w:rPr>
          <w:rFonts w:hint="eastAsia" w:ascii="方正小标宋简体" w:hAnsi="方正小标宋简体" w:eastAsia="方正小标宋简体" w:cs="方正小标宋简体"/>
          <w:w w:val="95"/>
          <w:sz w:val="44"/>
          <w:szCs w:val="44"/>
          <w:lang w:val="en-US" w:eastAsia="zh-CN"/>
        </w:rPr>
        <w:t>产</w:t>
      </w:r>
      <w:r>
        <w:rPr>
          <w:rFonts w:hint="eastAsia" w:ascii="方正小标宋简体" w:hAnsi="方正小标宋简体" w:eastAsia="方正小标宋简体" w:cs="方正小标宋简体"/>
          <w:w w:val="95"/>
          <w:sz w:val="44"/>
          <w:szCs w:val="44"/>
        </w:rPr>
        <w:t>8000万只瓶盖项目</w:t>
      </w:r>
      <w:r>
        <w:rPr>
          <w:rFonts w:hint="eastAsia" w:ascii="方正小标宋简体" w:hAnsi="方正小标宋简体" w:eastAsia="方正小标宋简体" w:cs="方正小标宋简体"/>
          <w:w w:val="95"/>
          <w:sz w:val="44"/>
          <w:szCs w:val="44"/>
          <w:lang w:eastAsia="zh-CN"/>
        </w:rPr>
        <w:t>环境影响报告表</w:t>
      </w:r>
      <w:r>
        <w:rPr>
          <w:rFonts w:hint="eastAsia" w:ascii="方正小标宋简体" w:hAnsi="方正小标宋简体" w:eastAsia="方正小标宋简体" w:cs="方正小标宋简体"/>
          <w:w w:val="95"/>
          <w:sz w:val="44"/>
          <w:szCs w:val="44"/>
        </w:rPr>
        <w:t>的批复</w:t>
      </w:r>
    </w:p>
    <w:p>
      <w:pPr>
        <w:rPr>
          <w:rFonts w:hint="eastAsia" w:ascii="仿宋_GB2312" w:eastAsia="仿宋_GB2312"/>
          <w:sz w:val="32"/>
          <w:szCs w:val="32"/>
        </w:rPr>
      </w:pPr>
    </w:p>
    <w:p>
      <w:pPr>
        <w:keepNext w:val="0"/>
        <w:keepLines w:val="0"/>
        <w:pageBreakBefore w:val="0"/>
        <w:widowControl w:val="0"/>
        <w:kinsoku/>
        <w:wordWrap/>
        <w:overflowPunct/>
        <w:topLinePunct w:val="0"/>
        <w:bidi w:val="0"/>
        <w:spacing w:line="560" w:lineRule="exact"/>
        <w:ind w:righ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湛江市霞山区广陆瓶盖有限公司：</w:t>
      </w:r>
    </w:p>
    <w:p>
      <w:pPr>
        <w:keepNext w:val="0"/>
        <w:keepLines w:val="0"/>
        <w:pageBreakBefore w:val="0"/>
        <w:widowControl w:val="0"/>
        <w:kinsoku/>
        <w:wordWrap/>
        <w:overflowPunct/>
        <w:topLinePunct w:val="0"/>
        <w:bidi w:val="0"/>
        <w:spacing w:line="560" w:lineRule="exact"/>
        <w:ind w:left="0" w:leftChars="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你</w:t>
      </w:r>
      <w:r>
        <w:rPr>
          <w:rFonts w:hint="eastAsia" w:ascii="仿宋_GB2312" w:hAnsi="仿宋_GB2312" w:eastAsia="仿宋_GB2312" w:cs="仿宋_GB2312"/>
          <w:sz w:val="32"/>
          <w:szCs w:val="32"/>
          <w:lang w:val="en-US" w:eastAsia="zh-CN"/>
        </w:rPr>
        <w:t>公司</w:t>
      </w:r>
      <w:r>
        <w:rPr>
          <w:rFonts w:hint="eastAsia" w:ascii="仿宋_GB2312" w:hAnsi="仿宋_GB2312" w:eastAsia="仿宋_GB2312" w:cs="仿宋_GB2312"/>
          <w:sz w:val="32"/>
          <w:szCs w:val="32"/>
        </w:rPr>
        <w:t>报批的《湛江市霞山区广陆瓶盖有限公司年产8000万只瓶盖项目环境影响报告表》（以下简称“报告表”）等材料收悉。经研究，批复如下：</w:t>
      </w:r>
    </w:p>
    <w:p>
      <w:pPr>
        <w:keepNext w:val="0"/>
        <w:keepLines w:val="0"/>
        <w:pageBreakBefore w:val="0"/>
        <w:widowControl w:val="0"/>
        <w:kinsoku/>
        <w:wordWrap/>
        <w:overflowPunct/>
        <w:topLinePunct w:val="0"/>
        <w:bidi w:val="0"/>
        <w:spacing w:line="560" w:lineRule="exact"/>
        <w:ind w:left="0" w:leftChars="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该项目位于湛江市霞山区志满路华港小区2号，占地面积851.98平方米，建筑面积约1970平方米，年产8000万个马口铁瓶盖，建设4条马口铁生产线（年产3500万个马口铁的生产线2条，年产500万个马口铁的生产线2条）。项目现有员工15人，采用两班制，每天每班工作8小时，全年工作320天，厂区内设有食堂，员工不在厂区住宿。项目总投资100万元，环保投资10万元，环保投资占比10%。</w:t>
      </w:r>
    </w:p>
    <w:p>
      <w:pPr>
        <w:keepNext w:val="0"/>
        <w:keepLines w:val="0"/>
        <w:pageBreakBefore w:val="0"/>
        <w:widowControl w:val="0"/>
        <w:numPr>
          <w:ilvl w:val="0"/>
          <w:numId w:val="0"/>
        </w:numPr>
        <w:kinsoku/>
        <w:wordWrap/>
        <w:overflowPunct/>
        <w:topLinePunct w:val="0"/>
        <w:bidi w:val="0"/>
        <w:spacing w:line="560" w:lineRule="exact"/>
        <w:ind w:left="0" w:leftChars="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根据</w:t>
      </w:r>
      <w:r>
        <w:rPr>
          <w:rFonts w:hint="eastAsia" w:ascii="仿宋_GB2312" w:hAnsi="仿宋_GB2312" w:eastAsia="仿宋_GB2312" w:cs="仿宋_GB2312"/>
          <w:sz w:val="32"/>
          <w:szCs w:val="32"/>
          <w:lang w:eastAsia="zh-CN"/>
        </w:rPr>
        <w:t>报告表</w:t>
      </w:r>
      <w:r>
        <w:rPr>
          <w:rFonts w:hint="eastAsia" w:ascii="仿宋_GB2312" w:hAnsi="仿宋_GB2312" w:eastAsia="仿宋_GB2312" w:cs="仿宋_GB2312"/>
          <w:sz w:val="32"/>
          <w:szCs w:val="32"/>
        </w:rPr>
        <w:t>的评价结论，在全面落实</w:t>
      </w:r>
      <w:r>
        <w:rPr>
          <w:rFonts w:hint="eastAsia" w:ascii="仿宋_GB2312" w:hAnsi="仿宋_GB2312" w:eastAsia="仿宋_GB2312" w:cs="仿宋_GB2312"/>
          <w:sz w:val="32"/>
          <w:szCs w:val="32"/>
          <w:lang w:eastAsia="zh-CN"/>
        </w:rPr>
        <w:t>报告表</w:t>
      </w:r>
      <w:r>
        <w:rPr>
          <w:rFonts w:hint="eastAsia" w:ascii="仿宋_GB2312" w:hAnsi="仿宋_GB2312" w:eastAsia="仿宋_GB2312" w:cs="仿宋_GB2312"/>
          <w:sz w:val="32"/>
          <w:szCs w:val="32"/>
        </w:rPr>
        <w:t>中提出的各项污染防治和风险防范措施，并确保污染物排放稳定达标且符合总量要求的前提下，项目按照</w:t>
      </w:r>
      <w:r>
        <w:rPr>
          <w:rFonts w:hint="eastAsia" w:ascii="仿宋_GB2312" w:hAnsi="仿宋_GB2312" w:eastAsia="仿宋_GB2312" w:cs="仿宋_GB2312"/>
          <w:sz w:val="32"/>
          <w:szCs w:val="32"/>
          <w:lang w:eastAsia="zh-CN"/>
        </w:rPr>
        <w:t>报告表</w:t>
      </w:r>
      <w:r>
        <w:rPr>
          <w:rFonts w:hint="eastAsia" w:ascii="仿宋_GB2312" w:hAnsi="仿宋_GB2312" w:eastAsia="仿宋_GB2312" w:cs="仿宋_GB2312"/>
          <w:sz w:val="32"/>
          <w:szCs w:val="32"/>
        </w:rPr>
        <w:t>中所列性质、规模、地点和拟采取的环境保护措施进行建设，从</w:t>
      </w:r>
      <w:r>
        <w:rPr>
          <w:rFonts w:hint="eastAsia" w:ascii="仿宋_GB2312" w:hAnsi="仿宋_GB2312" w:eastAsia="仿宋_GB2312" w:cs="仿宋_GB2312"/>
          <w:sz w:val="32"/>
          <w:szCs w:val="32"/>
          <w:lang w:val="en-US" w:eastAsia="zh-CN"/>
        </w:rPr>
        <w:t>生态</w:t>
      </w:r>
      <w:r>
        <w:rPr>
          <w:rFonts w:hint="eastAsia" w:ascii="仿宋_GB2312" w:hAnsi="仿宋_GB2312" w:eastAsia="仿宋_GB2312" w:cs="仿宋_GB2312"/>
          <w:sz w:val="32"/>
          <w:szCs w:val="32"/>
        </w:rPr>
        <w:t>环境保护角度可行。我局原则通过对报告</w:t>
      </w:r>
      <w:r>
        <w:rPr>
          <w:rFonts w:hint="eastAsia" w:ascii="仿宋_GB2312" w:hAnsi="仿宋_GB2312" w:eastAsia="仿宋_GB2312" w:cs="仿宋_GB2312"/>
          <w:sz w:val="32"/>
          <w:szCs w:val="32"/>
          <w:lang w:eastAsia="zh-CN"/>
        </w:rPr>
        <w:t>表</w:t>
      </w:r>
      <w:r>
        <w:rPr>
          <w:rFonts w:hint="eastAsia" w:ascii="仿宋_GB2312" w:hAnsi="仿宋_GB2312" w:eastAsia="仿宋_GB2312" w:cs="仿宋_GB2312"/>
          <w:sz w:val="32"/>
          <w:szCs w:val="32"/>
        </w:rPr>
        <w:t>的审查，你公司应按照报告</w:t>
      </w:r>
      <w:r>
        <w:rPr>
          <w:rFonts w:hint="eastAsia" w:ascii="仿宋_GB2312" w:hAnsi="仿宋_GB2312" w:eastAsia="仿宋_GB2312" w:cs="仿宋_GB2312"/>
          <w:sz w:val="32"/>
          <w:szCs w:val="32"/>
          <w:lang w:eastAsia="zh-CN"/>
        </w:rPr>
        <w:t>表</w:t>
      </w:r>
      <w:r>
        <w:rPr>
          <w:rFonts w:hint="eastAsia" w:ascii="仿宋_GB2312" w:hAnsi="仿宋_GB2312" w:eastAsia="仿宋_GB2312" w:cs="仿宋_GB2312"/>
          <w:sz w:val="32"/>
          <w:szCs w:val="32"/>
        </w:rPr>
        <w:t>内容组织实施。</w:t>
      </w:r>
    </w:p>
    <w:p>
      <w:pPr>
        <w:keepNext w:val="0"/>
        <w:keepLines w:val="0"/>
        <w:pageBreakBefore w:val="0"/>
        <w:widowControl w:val="0"/>
        <w:kinsoku/>
        <w:wordWrap/>
        <w:overflowPunct/>
        <w:topLinePunct w:val="0"/>
        <w:bidi w:val="0"/>
        <w:spacing w:line="560" w:lineRule="exact"/>
        <w:ind w:left="0" w:leftChars="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三、项目建设和运营中还应重点做好以下工作：</w:t>
      </w:r>
    </w:p>
    <w:p>
      <w:pPr>
        <w:keepNext w:val="0"/>
        <w:keepLines w:val="0"/>
        <w:pageBreakBefore w:val="0"/>
        <w:widowControl w:val="0"/>
        <w:kinsoku/>
        <w:wordWrap/>
        <w:overflowPunct/>
        <w:topLinePunct w:val="0"/>
        <w:bidi w:val="0"/>
        <w:spacing w:line="560" w:lineRule="exact"/>
        <w:ind w:left="0" w:leftChars="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）该项目须加强环保管理和“三废”防治设施维护，严格按照环评的要求</w:t>
      </w:r>
      <w:r>
        <w:rPr>
          <w:rFonts w:hint="eastAsia" w:ascii="仿宋_GB2312" w:hAnsi="仿宋_GB2312" w:eastAsia="仿宋_GB2312" w:cs="仿宋_GB2312"/>
          <w:sz w:val="32"/>
          <w:szCs w:val="32"/>
          <w:lang w:val="en-US" w:eastAsia="zh-CN"/>
        </w:rPr>
        <w:t>落实</w:t>
      </w:r>
      <w:r>
        <w:rPr>
          <w:rFonts w:hint="eastAsia" w:ascii="仿宋_GB2312" w:hAnsi="仿宋_GB2312" w:eastAsia="仿宋_GB2312" w:cs="仿宋_GB2312"/>
          <w:sz w:val="32"/>
          <w:szCs w:val="32"/>
        </w:rPr>
        <w:t>各项污染防治措施，</w:t>
      </w:r>
      <w:r>
        <w:rPr>
          <w:rFonts w:hint="eastAsia" w:ascii="仿宋_GB2312" w:hAnsi="仿宋_GB2312" w:eastAsia="仿宋_GB2312" w:cs="仿宋_GB2312"/>
          <w:sz w:val="32"/>
          <w:szCs w:val="32"/>
          <w:lang w:eastAsia="zh-CN"/>
        </w:rPr>
        <w:t>确保</w:t>
      </w:r>
      <w:r>
        <w:rPr>
          <w:rFonts w:hint="eastAsia" w:ascii="仿宋_GB2312" w:hAnsi="仿宋_GB2312" w:eastAsia="仿宋_GB2312" w:cs="仿宋_GB2312"/>
          <w:sz w:val="32"/>
          <w:szCs w:val="32"/>
        </w:rPr>
        <w:t>项目固废得到有效处置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各类污染物</w:t>
      </w:r>
      <w:r>
        <w:rPr>
          <w:rFonts w:hint="eastAsia" w:ascii="仿宋_GB2312" w:hAnsi="仿宋_GB2312" w:eastAsia="仿宋_GB2312" w:cs="仿宋_GB2312"/>
          <w:sz w:val="32"/>
          <w:szCs w:val="32"/>
        </w:rPr>
        <w:t>稳定达标排放。</w:t>
      </w:r>
    </w:p>
    <w:p>
      <w:pPr>
        <w:keepNext w:val="0"/>
        <w:keepLines w:val="0"/>
        <w:pageBreakBefore w:val="0"/>
        <w:widowControl w:val="0"/>
        <w:kinsoku/>
        <w:wordWrap/>
        <w:overflowPunct/>
        <w:topLinePunct w:val="0"/>
        <w:bidi w:val="0"/>
        <w:spacing w:line="560" w:lineRule="exact"/>
        <w:ind w:left="0" w:leftChars="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）该项目生产过程产生的固体废物须严格按照有关规范管理，做好储存场所的防渗防漏措施，不能随意堆放，如实记录产生固体废物的种类、数量、利用、贮存、处置、流向等信息，存档备查。</w:t>
      </w:r>
    </w:p>
    <w:p>
      <w:pPr>
        <w:keepNext w:val="0"/>
        <w:keepLines w:val="0"/>
        <w:pageBreakBefore w:val="0"/>
        <w:widowControl w:val="0"/>
        <w:kinsoku/>
        <w:wordWrap/>
        <w:overflowPunct/>
        <w:topLinePunct w:val="0"/>
        <w:bidi w:val="0"/>
        <w:adjustRightInd w:val="0"/>
        <w:snapToGrid w:val="0"/>
        <w:spacing w:line="560" w:lineRule="exact"/>
        <w:ind w:left="0" w:leftChars="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）该项目须加强危险废物的管理。1.严格按照《危险废物贮存污染控制标准》（GB18597-2001及其2013年修改单）中的相关规定设计建设危险废物暂存间，</w:t>
      </w:r>
      <w:r>
        <w:rPr>
          <w:rFonts w:hint="eastAsia" w:ascii="仿宋_GB2312" w:hAnsi="仿宋_GB2312" w:eastAsia="仿宋_GB2312" w:cs="仿宋_GB2312"/>
          <w:sz w:val="32"/>
          <w:szCs w:val="32"/>
          <w:lang w:val="en-US" w:eastAsia="zh-CN"/>
        </w:rPr>
        <w:t>满足</w:t>
      </w:r>
      <w:r>
        <w:rPr>
          <w:rFonts w:hint="eastAsia" w:ascii="仿宋_GB2312" w:hAnsi="仿宋_GB2312" w:eastAsia="仿宋_GB2312" w:cs="仿宋_GB2312"/>
          <w:sz w:val="32"/>
          <w:szCs w:val="32"/>
        </w:rPr>
        <w:t>防雨、防渗、防风、防晒、防漏等要求，并设置截留沟；2.危险废物须交由有资质的单位进行安全处置；3.建立危险废物管理台账，存档备查。</w:t>
      </w:r>
    </w:p>
    <w:p>
      <w:pPr>
        <w:keepNext w:val="0"/>
        <w:keepLines w:val="0"/>
        <w:pageBreakBefore w:val="0"/>
        <w:widowControl w:val="0"/>
        <w:kinsoku/>
        <w:wordWrap/>
        <w:overflowPunct/>
        <w:topLinePunct w:val="0"/>
        <w:bidi w:val="0"/>
        <w:snapToGrid/>
        <w:spacing w:line="560" w:lineRule="exact"/>
        <w:ind w:left="0" w:leftChars="0" w:right="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该项目注胶及烘干过程中产生的有组织废气污染物执行《大气污染物排放限值》（DB44/27-2001）表2第二时段二级标准排放限值；厂界废气污染物执行广东省《大气污染物排放限值》（DB44/27-2001）表2第二时段无组织排放监控浓度限值；厂区内非甲烷总烃执行《挥发性有机物无组织排放控制标准》（GB37822-2019）表A.1厂区内VOCs无组织特别排放限值要求</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食堂油烟执行《饮食业油烟排放标准（试行）》（GB18483-2001）小型饮食业单位最高允许排放浓度</w:t>
      </w:r>
      <w:r>
        <w:rPr>
          <w:rFonts w:hint="eastAsia" w:ascii="仿宋_GB2312" w:hAnsi="仿宋_GB2312" w:eastAsia="仿宋_GB2312" w:cs="仿宋_GB2312"/>
          <w:sz w:val="32"/>
          <w:szCs w:val="32"/>
          <w:lang w:val="en-US" w:eastAsia="zh-CN"/>
        </w:rPr>
        <w:t>。</w:t>
      </w:r>
    </w:p>
    <w:p>
      <w:pPr>
        <w:keepNext w:val="0"/>
        <w:keepLines w:val="0"/>
        <w:pageBreakBefore w:val="0"/>
        <w:widowControl w:val="0"/>
        <w:kinsoku/>
        <w:wordWrap/>
        <w:overflowPunct/>
        <w:topLinePunct w:val="0"/>
        <w:bidi w:val="0"/>
        <w:snapToGrid/>
        <w:spacing w:line="560" w:lineRule="exact"/>
        <w:ind w:left="0" w:leftChars="0" w:right="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（五）该项目生活污水经处理达到广东省《水污染物排放限值》（DB44/26-2001）第二时段三级标准和霞山水质净化厂的接管标准较严值后经市政污水管网排入霞山水质净化厂。</w:t>
      </w:r>
    </w:p>
    <w:p>
      <w:pPr>
        <w:pStyle w:val="2"/>
        <w:keepNext w:val="0"/>
        <w:keepLines w:val="0"/>
        <w:pageBreakBefore w:val="0"/>
        <w:widowControl w:val="0"/>
        <w:kinsoku/>
        <w:wordWrap/>
        <w:overflowPunct/>
        <w:topLinePunct w:val="0"/>
        <w:bidi w:val="0"/>
        <w:snapToGrid/>
        <w:spacing w:line="560" w:lineRule="exact"/>
        <w:ind w:left="0" w:leftChars="0" w:right="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（六）该项目要根据环评要求采取措施降低对周边敏感点的影响，项目各边界处噪声贡献值执行《工业企业厂界环境噪声排放标准》（GB12348-2008）的3类标准。</w:t>
      </w:r>
    </w:p>
    <w:p>
      <w:pPr>
        <w:keepNext w:val="0"/>
        <w:keepLines w:val="0"/>
        <w:pageBreakBefore w:val="0"/>
        <w:widowControl w:val="0"/>
        <w:kinsoku/>
        <w:wordWrap/>
        <w:overflowPunct/>
        <w:topLinePunct w:val="0"/>
        <w:bidi w:val="0"/>
        <w:spacing w:line="560" w:lineRule="exact"/>
        <w:ind w:left="0" w:leftChars="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、若项目的性质、规模、地点、生产工艺或者防治污染的措施发生重大变动，应重新报批项目的环境影响评价文件。</w:t>
      </w:r>
    </w:p>
    <w:p>
      <w:pPr>
        <w:pStyle w:val="13"/>
        <w:rPr>
          <w:rFonts w:hint="eastAsia" w:ascii="仿宋_GB2312" w:hAnsi="仿宋_GB2312" w:eastAsia="仿宋_GB2312" w:cs="仿宋_GB2312"/>
        </w:rPr>
      </w:pPr>
    </w:p>
    <w:p>
      <w:pPr>
        <w:pStyle w:val="6"/>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880" w:firstLineChars="200"/>
        <w:jc w:val="righ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lang w:val="en-US" w:eastAsia="zh-CN"/>
        </w:rPr>
        <w:t xml:space="preserve">                 </w:t>
      </w:r>
      <w:r>
        <w:rPr>
          <w:rFonts w:hint="eastAsia" w:ascii="仿宋_GB2312" w:hAnsi="仿宋_GB2312" w:eastAsia="仿宋_GB2312" w:cs="仿宋_GB2312"/>
          <w:sz w:val="32"/>
          <w:szCs w:val="32"/>
          <w:lang w:val="en-US" w:eastAsia="zh-CN"/>
        </w:rPr>
        <w:t>湛江市生态环境局</w:t>
      </w:r>
    </w:p>
    <w:p>
      <w:pPr>
        <w:keepNext w:val="0"/>
        <w:keepLines w:val="0"/>
        <w:pageBreakBefore w:val="0"/>
        <w:widowControl w:val="0"/>
        <w:kinsoku/>
        <w:wordWrap/>
        <w:overflowPunct/>
        <w:topLinePunct w:val="0"/>
        <w:bidi w:val="0"/>
        <w:spacing w:line="560" w:lineRule="exact"/>
        <w:ind w:left="0" w:leftChars="0"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2022年1月7日</w:t>
      </w:r>
    </w:p>
    <w:sectPr>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小标宋">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Arial Unicode MS">
    <w:altName w:val="宋体"/>
    <w:panose1 w:val="020B0604020202020204"/>
    <w:charset w:val="86"/>
    <w:family w:val="swiss"/>
    <w:pitch w:val="default"/>
    <w:sig w:usb0="00000000" w:usb1="00000000"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9532D0"/>
    <w:multiLevelType w:val="singleLevel"/>
    <w:tmpl w:val="2D9532D0"/>
    <w:lvl w:ilvl="0" w:tentative="0">
      <w:start w:val="1"/>
      <w:numFmt w:val="bullet"/>
      <w:pStyle w:val="8"/>
      <w:lvlText w:val=""/>
      <w:lvlJc w:val="left"/>
      <w:pPr>
        <w:tabs>
          <w:tab w:val="left" w:pos="780"/>
        </w:tabs>
        <w:ind w:left="7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6A7D"/>
    <w:rsid w:val="0005552C"/>
    <w:rsid w:val="000F2D8C"/>
    <w:rsid w:val="000F3A7F"/>
    <w:rsid w:val="0014250C"/>
    <w:rsid w:val="001E0451"/>
    <w:rsid w:val="001E4738"/>
    <w:rsid w:val="0022269B"/>
    <w:rsid w:val="00222930"/>
    <w:rsid w:val="00227B17"/>
    <w:rsid w:val="0027790E"/>
    <w:rsid w:val="003B68A5"/>
    <w:rsid w:val="00401210"/>
    <w:rsid w:val="00422F2D"/>
    <w:rsid w:val="004C5BAF"/>
    <w:rsid w:val="00543BD7"/>
    <w:rsid w:val="005D36FB"/>
    <w:rsid w:val="00634111"/>
    <w:rsid w:val="006E225C"/>
    <w:rsid w:val="006F5D6F"/>
    <w:rsid w:val="00766A7D"/>
    <w:rsid w:val="00773639"/>
    <w:rsid w:val="00793BD3"/>
    <w:rsid w:val="007F2985"/>
    <w:rsid w:val="007F2AE6"/>
    <w:rsid w:val="007F434C"/>
    <w:rsid w:val="00823816"/>
    <w:rsid w:val="00891538"/>
    <w:rsid w:val="008E341F"/>
    <w:rsid w:val="00903D3B"/>
    <w:rsid w:val="0096014C"/>
    <w:rsid w:val="009671ED"/>
    <w:rsid w:val="009E5FFD"/>
    <w:rsid w:val="00A87A6E"/>
    <w:rsid w:val="00B67E72"/>
    <w:rsid w:val="00BB5ECF"/>
    <w:rsid w:val="00BE55BA"/>
    <w:rsid w:val="00C00CBA"/>
    <w:rsid w:val="00CA18AB"/>
    <w:rsid w:val="00CD7503"/>
    <w:rsid w:val="00D85488"/>
    <w:rsid w:val="00DB2F5A"/>
    <w:rsid w:val="00DF0E2E"/>
    <w:rsid w:val="00E64860"/>
    <w:rsid w:val="00EE15E9"/>
    <w:rsid w:val="00EE5BFF"/>
    <w:rsid w:val="00F85EA1"/>
    <w:rsid w:val="00FB008A"/>
    <w:rsid w:val="04783AB2"/>
    <w:rsid w:val="05145D29"/>
    <w:rsid w:val="05B30EB9"/>
    <w:rsid w:val="0B1574E0"/>
    <w:rsid w:val="0B187C8B"/>
    <w:rsid w:val="0EE7640C"/>
    <w:rsid w:val="10C65629"/>
    <w:rsid w:val="13E8376E"/>
    <w:rsid w:val="25776CA5"/>
    <w:rsid w:val="2CFD654A"/>
    <w:rsid w:val="32BD0017"/>
    <w:rsid w:val="3BEE10C4"/>
    <w:rsid w:val="3C375058"/>
    <w:rsid w:val="442B4798"/>
    <w:rsid w:val="45986459"/>
    <w:rsid w:val="46F97E30"/>
    <w:rsid w:val="47D5171A"/>
    <w:rsid w:val="513B5092"/>
    <w:rsid w:val="581466B3"/>
    <w:rsid w:val="5CDE636C"/>
    <w:rsid w:val="5D5A2F7C"/>
    <w:rsid w:val="5EB31BA9"/>
    <w:rsid w:val="645B5C76"/>
    <w:rsid w:val="64B47DEC"/>
    <w:rsid w:val="68360B26"/>
    <w:rsid w:val="6AFB3231"/>
    <w:rsid w:val="70FC1E0B"/>
    <w:rsid w:val="73686B95"/>
    <w:rsid w:val="74EF6F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uiPriority="99" w:name="List 2"/>
    <w:lsdException w:uiPriority="99" w:name="List 3"/>
    <w:lsdException w:uiPriority="99" w:name="List 4"/>
    <w:lsdException w:uiPriority="99" w:name="List 5"/>
    <w:lsdException w:qFormat="1"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customStyle="1" w:styleId="2">
    <w:name w:val="Default"/>
    <w:basedOn w:val="3"/>
    <w:next w:val="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
    <w:name w:val="纯文本1"/>
    <w:basedOn w:val="1"/>
    <w:qFormat/>
    <w:uiPriority w:val="0"/>
    <w:pPr>
      <w:suppressAutoHyphens/>
    </w:pPr>
    <w:rPr>
      <w:rFonts w:ascii="宋体" w:hAnsi="宋体"/>
      <w:kern w:val="1"/>
      <w:lang w:eastAsia="ar-SA"/>
    </w:rPr>
  </w:style>
  <w:style w:type="paragraph" w:styleId="4">
    <w:name w:val="Normal Indent"/>
    <w:basedOn w:val="1"/>
    <w:qFormat/>
    <w:uiPriority w:val="0"/>
    <w:pPr>
      <w:keepNext w:val="0"/>
      <w:keepLines w:val="0"/>
      <w:widowControl/>
      <w:suppressLineNumbers w:val="0"/>
      <w:spacing w:before="0" w:beforeAutospacing="0" w:after="0" w:afterAutospacing="0"/>
      <w:ind w:left="0" w:right="0" w:firstLine="420"/>
      <w:jc w:val="left"/>
    </w:pPr>
    <w:rPr>
      <w:rFonts w:hint="default" w:ascii="Calibri" w:hAnsi="Calibri" w:eastAsia="宋体" w:cs="Times New Roman"/>
      <w:kern w:val="0"/>
      <w:sz w:val="21"/>
      <w:szCs w:val="22"/>
      <w:lang w:val="en-US" w:eastAsia="zh-CN" w:bidi="ar"/>
    </w:rPr>
  </w:style>
  <w:style w:type="paragraph" w:styleId="5">
    <w:name w:val="annotation text"/>
    <w:basedOn w:val="1"/>
    <w:qFormat/>
    <w:uiPriority w:val="0"/>
    <w:pPr>
      <w:jc w:val="left"/>
    </w:pPr>
  </w:style>
  <w:style w:type="paragraph" w:styleId="6">
    <w:name w:val="Body Text"/>
    <w:basedOn w:val="1"/>
    <w:qFormat/>
    <w:uiPriority w:val="0"/>
    <w:pPr>
      <w:spacing w:line="0" w:lineRule="atLeast"/>
    </w:pPr>
    <w:rPr>
      <w:rFonts w:eastAsia="小标宋"/>
      <w:sz w:val="44"/>
    </w:rPr>
  </w:style>
  <w:style w:type="paragraph" w:styleId="7">
    <w:name w:val="Body Text Indent"/>
    <w:basedOn w:val="1"/>
    <w:qFormat/>
    <w:uiPriority w:val="0"/>
    <w:pPr>
      <w:ind w:left="420" w:firstLine="600"/>
    </w:pPr>
    <w:rPr>
      <w:rFonts w:ascii="宋体" w:hAnsi="宋体"/>
      <w:sz w:val="30"/>
    </w:rPr>
  </w:style>
  <w:style w:type="paragraph" w:styleId="8">
    <w:name w:val="List Bullet 2"/>
    <w:basedOn w:val="1"/>
    <w:next w:val="9"/>
    <w:semiHidden/>
    <w:unhideWhenUsed/>
    <w:qFormat/>
    <w:uiPriority w:val="99"/>
    <w:pPr>
      <w:numPr>
        <w:ilvl w:val="0"/>
        <w:numId w:val="1"/>
      </w:numPr>
    </w:pPr>
  </w:style>
  <w:style w:type="paragraph" w:customStyle="1" w:styleId="9">
    <w:name w:val="xl70"/>
    <w:basedOn w:val="1"/>
    <w:next w:val="10"/>
    <w:qFormat/>
    <w:uiPriority w:val="0"/>
    <w:pPr>
      <w:widowControl/>
      <w:pBdr>
        <w:left w:val="single" w:color="auto" w:sz="4" w:space="0"/>
        <w:right w:val="single" w:color="auto" w:sz="4" w:space="0"/>
      </w:pBdr>
      <w:spacing w:before="100" w:beforeAutospacing="1" w:after="100" w:afterAutospacing="1"/>
      <w:jc w:val="center"/>
      <w:textAlignment w:val="center"/>
    </w:pPr>
    <w:rPr>
      <w:rFonts w:ascii="Arial Unicode MS" w:hAnsi="Arial Unicode MS"/>
      <w:spacing w:val="-2"/>
      <w:sz w:val="28"/>
      <w:szCs w:val="20"/>
    </w:rPr>
  </w:style>
  <w:style w:type="paragraph" w:customStyle="1" w:styleId="10">
    <w:name w:val="正文缩进1"/>
    <w:basedOn w:val="1"/>
    <w:next w:val="11"/>
    <w:qFormat/>
    <w:uiPriority w:val="0"/>
    <w:pPr>
      <w:ind w:firstLine="420"/>
    </w:pPr>
    <w:rPr>
      <w:sz w:val="28"/>
      <w:szCs w:val="20"/>
    </w:rPr>
  </w:style>
  <w:style w:type="paragraph" w:customStyle="1" w:styleId="11">
    <w:name w:val="td1"/>
    <w:basedOn w:val="1"/>
    <w:next w:val="1"/>
    <w:qFormat/>
    <w:uiPriority w:val="0"/>
    <w:pPr>
      <w:widowControl/>
      <w:spacing w:before="100" w:beforeAutospacing="1" w:after="100" w:afterAutospacing="1"/>
      <w:jc w:val="center"/>
    </w:pPr>
    <w:rPr>
      <w:rFonts w:ascii="宋体" w:hAnsi="宋体"/>
      <w:b/>
      <w:bCs/>
      <w:color w:val="0000FF"/>
      <w:spacing w:val="-2"/>
      <w:sz w:val="28"/>
      <w:szCs w:val="28"/>
      <w:u w:val="single"/>
    </w:rPr>
  </w:style>
  <w:style w:type="paragraph" w:styleId="12">
    <w:name w:val="Plain Text"/>
    <w:basedOn w:val="1"/>
    <w:qFormat/>
    <w:uiPriority w:val="0"/>
    <w:rPr>
      <w:rFonts w:ascii="宋体" w:hAnsi="Courier New"/>
      <w:color w:val="000000"/>
      <w:sz w:val="24"/>
      <w:szCs w:val="24"/>
    </w:rPr>
  </w:style>
  <w:style w:type="paragraph" w:styleId="13">
    <w:name w:val="List"/>
    <w:basedOn w:val="1"/>
    <w:next w:val="8"/>
    <w:qFormat/>
    <w:uiPriority w:val="0"/>
    <w:pPr>
      <w:ind w:left="200" w:hanging="200" w:hangingChars="200"/>
    </w:pPr>
  </w:style>
  <w:style w:type="paragraph" w:styleId="14">
    <w:name w:val="Body Text First Indent 2"/>
    <w:basedOn w:val="7"/>
    <w:qFormat/>
    <w:uiPriority w:val="0"/>
    <w:pPr>
      <w:spacing w:after="120"/>
      <w:ind w:leftChars="200" w:firstLine="420" w:firstLineChars="200"/>
    </w:pPr>
    <w:rPr>
      <w:sz w:val="21"/>
    </w:rPr>
  </w:style>
  <w:style w:type="paragraph" w:customStyle="1" w:styleId="17">
    <w:name w:val="0-Meng"/>
    <w:basedOn w:val="1"/>
    <w:next w:val="1"/>
    <w:qFormat/>
    <w:uiPriority w:val="0"/>
    <w:pPr>
      <w:spacing w:line="360" w:lineRule="auto"/>
      <w:ind w:firstLine="200" w:firstLineChars="200"/>
    </w:pPr>
    <w:rPr>
      <w:color w:val="000000"/>
      <w:sz w:val="24"/>
      <w:szCs w:val="24"/>
    </w:rPr>
  </w:style>
  <w:style w:type="paragraph" w:customStyle="1" w:styleId="18">
    <w:name w:val="0正文"/>
    <w:qFormat/>
    <w:uiPriority w:val="99"/>
    <w:pPr>
      <w:widowControl w:val="0"/>
      <w:spacing w:line="360" w:lineRule="auto"/>
      <w:ind w:firstLine="720" w:firstLineChars="200"/>
    </w:pPr>
    <w:rPr>
      <w:rFonts w:ascii="Calibri" w:hAnsi="Calibri" w:eastAsia="宋体" w:cs="Times New Roman"/>
      <w:sz w:val="24"/>
      <w:szCs w:val="22"/>
      <w:lang w:val="en-US" w:eastAsia="zh-CN" w:bidi="ar-SA"/>
    </w:rPr>
  </w:style>
  <w:style w:type="paragraph" w:customStyle="1" w:styleId="19">
    <w:name w:val="Default1"/>
    <w:next w:val="20"/>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20">
    <w:name w:val="正文样式1"/>
    <w:basedOn w:val="1"/>
    <w:qFormat/>
    <w:uiPriority w:val="0"/>
    <w:pPr>
      <w:adjustRightInd w:val="0"/>
      <w:spacing w:line="360" w:lineRule="auto"/>
      <w:ind w:firstLine="360" w:firstLineChars="150"/>
      <w:textAlignment w:val="baseline"/>
    </w:pPr>
    <w:rPr>
      <w:rFonts w:ascii="宋体" w:hAnsi="宋体"/>
      <w:color w:val="FF0000"/>
      <w:kern w:val="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88</Words>
  <Characters>503</Characters>
  <Lines>4</Lines>
  <Paragraphs>1</Paragraphs>
  <TotalTime>37</TotalTime>
  <ScaleCrop>false</ScaleCrop>
  <LinksUpToDate>false</LinksUpToDate>
  <CharactersWithSpaces>590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2019-07-04T02:06:00Z</dcterms:created>
  <dc:creator>332394983@qq.com</dc:creator>
  <cp:lastModifiedBy>sghnc</cp:lastModifiedBy>
  <cp:lastPrinted>2022-01-21T07:40:05Z</cp:lastPrinted>
  <dcterms:modified xsi:type="dcterms:W3CDTF">2022-01-24T02:30:30Z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42460525A35A435E94772F435962191C</vt:lpwstr>
  </property>
</Properties>
</file>