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rFonts w:hint="eastAsia"/>
          <w:b/>
          <w:bCs/>
          <w:sz w:val="44"/>
          <w:szCs w:val="44"/>
        </w:rPr>
      </w:pPr>
    </w:p>
    <w:p>
      <w:pPr>
        <w:jc w:val="right"/>
        <w:rPr>
          <w:rFonts w:ascii="仿宋_GB2312" w:eastAsia="仿宋_GB2312"/>
          <w:sz w:val="32"/>
          <w:szCs w:val="32"/>
        </w:rPr>
      </w:pPr>
      <w:r>
        <w:rPr>
          <w:rFonts w:hint="eastAsia" w:ascii="仿宋_GB2312" w:eastAsia="仿宋_GB2312"/>
          <w:sz w:val="32"/>
          <w:szCs w:val="32"/>
        </w:rPr>
        <w:t>湛</w:t>
      </w:r>
      <w:r>
        <w:rPr>
          <w:rFonts w:hint="eastAsia" w:ascii="仿宋_GB2312" w:eastAsia="仿宋_GB2312"/>
          <w:sz w:val="32"/>
          <w:szCs w:val="32"/>
          <w:lang w:eastAsia="zh-CN"/>
        </w:rPr>
        <w:t>环建霞</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jc w:val="center"/>
        <w:rPr>
          <w:rFonts w:hint="eastAsia"/>
          <w:b/>
          <w:bCs/>
          <w:sz w:val="44"/>
          <w:szCs w:val="44"/>
        </w:rPr>
      </w:pPr>
      <w:r>
        <w:rPr>
          <w:rFonts w:hint="eastAsia"/>
          <w:b/>
          <w:bCs/>
          <w:sz w:val="44"/>
          <w:szCs w:val="44"/>
        </w:rPr>
        <w:t>关于</w:t>
      </w:r>
      <w:bookmarkStart w:id="0" w:name="_GoBack"/>
      <w:r>
        <w:rPr>
          <w:rFonts w:hint="eastAsia"/>
          <w:b/>
          <w:bCs/>
          <w:sz w:val="44"/>
          <w:szCs w:val="44"/>
        </w:rPr>
        <w:t>广东旺宝实业有限公司年处理小麦21万吨、面制品3600吨项目环境影响评价</w:t>
      </w:r>
    </w:p>
    <w:p>
      <w:pPr>
        <w:jc w:val="center"/>
        <w:rPr>
          <w:rFonts w:hint="eastAsia"/>
          <w:b/>
          <w:bCs/>
          <w:sz w:val="44"/>
          <w:szCs w:val="44"/>
        </w:rPr>
      </w:pPr>
      <w:r>
        <w:rPr>
          <w:rFonts w:hint="eastAsia"/>
          <w:b/>
          <w:bCs/>
          <w:sz w:val="44"/>
          <w:szCs w:val="44"/>
        </w:rPr>
        <w:t>报告表</w:t>
      </w:r>
      <w:bookmarkEnd w:id="0"/>
      <w:r>
        <w:rPr>
          <w:rFonts w:hint="eastAsia"/>
          <w:b/>
          <w:bCs/>
          <w:sz w:val="44"/>
          <w:szCs w:val="44"/>
        </w:rPr>
        <w:t>的批复</w:t>
      </w:r>
    </w:p>
    <w:p>
      <w:pPr>
        <w:jc w:val="center"/>
        <w:rPr>
          <w:rFonts w:hint="eastAsia"/>
          <w:b/>
          <w:bCs/>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广东旺宝实业有限公司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你单位报批的《广东旺宝实业有限公司年处理小麦21万吨、面制品3600吨项目环境影响评价报告表》（以下简称“报告表”）等材料收悉。经研究，批复如下：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val="en-US" w:eastAsia="zh-CN"/>
        </w:rPr>
        <w:t>在湛江市霞山区新尚路13号(中心坐标为110°23′54.46"E、21°10′50.09"N)投资建设“广东旺宝实业有限公司年处理小麦21万吨、面制品3600吨项目”（以下简称“本项目”），主要利用小麦为原料生产、加工生产面粉、面条，总</w:t>
      </w:r>
      <w:r>
        <w:rPr>
          <w:rFonts w:hint="eastAsia" w:ascii="仿宋_GB2312" w:hAnsi="仿宋_GB2312" w:eastAsia="仿宋_GB2312" w:cs="仿宋_GB2312"/>
          <w:sz w:val="32"/>
          <w:szCs w:val="32"/>
        </w:rPr>
        <w:t>占地面积为</w:t>
      </w:r>
      <w:r>
        <w:rPr>
          <w:rFonts w:hint="eastAsia" w:ascii="仿宋_GB2312" w:hAnsi="仿宋_GB2312" w:eastAsia="仿宋_GB2312" w:cs="仿宋_GB2312"/>
          <w:sz w:val="32"/>
          <w:szCs w:val="32"/>
          <w:lang w:val="en-US" w:eastAsia="zh-CN"/>
        </w:rPr>
        <w:t>15181.55m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，总建筑面积为8919.19m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主要建设内容包括面粉车间、面条车间、面粉仓库、筒库、配电房、锅炉房、平房仓、办公楼等，主要原辅材料包括小麦、玉米淀粉、小麦淀粉、谷朊编织袋、布袋、面条粉、鸡蛋等。项目配备一台4t/h的蒸汽锅炉，蒸汽冷凝后循环使用，年运行2560h。项目总投资2500万元，环保投资250万元，占总投资比例10%。</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的评价结论，在全面落实</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中提出的各项污染防治和风险防范措施，并确保污染物排放稳定达标且符合总量要求的前提下，项目按照</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中所列性质、规模、地点和拟采取的环境保护措施进行建设，从环境保护角度可行。我局原则通过对报告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的审查，你公司应按照报告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内容组织实施。</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三、项目建设和运营中还应重点做好以下工作：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该项目建设必须严格执行配套环境保护设施与主体工程同时设计、同时施工、同时投产使用的环境保护“三同时”制度。项目竣工后，建设单位须按规定程序自主开展建设项目竣工环境保护验收，验收合格后方可正式投入生产。</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w:t>
      </w:r>
      <w:r>
        <w:rPr>
          <w:rFonts w:hint="eastAsia" w:ascii="仿宋_GB2312" w:hAnsi="仿宋" w:eastAsia="仿宋_GB2312" w:cs="仿宋"/>
          <w:sz w:val="32"/>
          <w:szCs w:val="32"/>
          <w:lang w:val="en-US" w:eastAsia="zh-CN"/>
        </w:rPr>
        <w:t>该项目须加强环保设施的维护和管理，确保环保设施正常运行，污染物达标排放</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w:t>
      </w:r>
      <w:r>
        <w:rPr>
          <w:rFonts w:hint="eastAsia" w:ascii="仿宋" w:hAnsi="仿宋" w:eastAsia="仿宋" w:cs="仿宋"/>
          <w:sz w:val="32"/>
          <w:szCs w:val="32"/>
          <w:lang w:eastAsia="zh-CN"/>
        </w:rPr>
        <w:t>该项目固体废物需严格按环评要求妥善处置，如实记录产生固体废物的种类、数量、利用、贮存、处置、流向等信息，并建立管理台帐，存档备查；生活垃圾定点收集，交由环卫部门定期清运。</w:t>
      </w:r>
    </w:p>
    <w:p>
      <w:pPr>
        <w:pStyle w:val="2"/>
        <w:keepNext w:val="0"/>
        <w:keepLines w:val="0"/>
        <w:pageBreakBefore w:val="0"/>
        <w:widowControl w:val="0"/>
        <w:kinsoku/>
        <w:wordWrap/>
        <w:overflowPunct/>
        <w:topLinePunct w:val="0"/>
        <w:bidi w:val="0"/>
        <w:snapToGrid/>
        <w:spacing w:line="240" w:lineRule="auto"/>
        <w:ind w:firstLine="640" w:firstLineChars="200"/>
        <w:textAlignment w:val="auto"/>
        <w:rPr>
          <w:rFonts w:hint="default"/>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该项目粉尘执行广东省《大气污染物排放限值》（DB44/27- 2001）第二时段排放限值，锅炉废气执行广东省《锅炉大气污染物排放标准》（DB 44/765-2019）新建燃气锅炉大气污染物排放浓度限值。项目生产废水不外排，生活污水经化粪池处理达标后经市政管网排入霞山水质净化厂统一处理，执行广东省地方标准《水污染物排放限值》(DB44/26-2001)第二时段三级标准和霞山水质净化厂进水水质标准较严值。项目运营期噪声执行《工业企业厂界环境噪声排放标准》（GB12348-2008）中3类标准（昼间≤65dB（A）、夜间≤55dB（A））。</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四、若项目的性质、规模、地点、工艺或者防治污染的措施发生重大变动，应重新报批项目的环境影响评价文件。</w:t>
      </w: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9"/>
        <w:rPr>
          <w:rFonts w:hint="eastAsia" w:ascii="仿宋" w:hAnsi="仿宋" w:eastAsia="仿宋" w:cs="仿宋"/>
          <w:sz w:val="32"/>
          <w:szCs w:val="32"/>
        </w:rPr>
      </w:pPr>
    </w:p>
    <w:p>
      <w:pPr>
        <w:pStyle w:val="1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湛江市生态环境局霞山分局</w:t>
      </w:r>
    </w:p>
    <w:p>
      <w:pPr>
        <w:pStyle w:val="11"/>
        <w:jc w:val="right"/>
        <w:rPr>
          <w:rFonts w:hint="default"/>
          <w:lang w:val="en-US" w:eastAsia="zh-CN"/>
        </w:rPr>
      </w:pPr>
      <w:r>
        <w:rPr>
          <w:rFonts w:hint="eastAsia" w:ascii="仿宋" w:hAnsi="仿宋" w:eastAsia="仿宋" w:cs="仿宋"/>
          <w:sz w:val="32"/>
          <w:szCs w:val="32"/>
          <w:lang w:val="en-US" w:eastAsia="zh-CN"/>
        </w:rPr>
        <w:t>2021年2月10日</w:t>
      </w:r>
    </w:p>
    <w:p>
      <w:pPr>
        <w:pStyle w:val="2"/>
        <w:keepNext w:val="0"/>
        <w:keepLines w:val="0"/>
        <w:pageBreakBefore w:val="0"/>
        <w:widowControl w:val="0"/>
        <w:kinsoku/>
        <w:wordWrap/>
        <w:overflowPunct/>
        <w:topLinePunct w:val="0"/>
        <w:bidi w:val="0"/>
        <w:snapToGrid/>
        <w:spacing w:line="240" w:lineRule="auto"/>
        <w:ind w:firstLine="640" w:firstLineChars="200"/>
        <w:jc w:val="right"/>
        <w:textAlignment w:val="auto"/>
        <w:rPr>
          <w:rFonts w:hint="eastAsia" w:eastAsia="仿宋_GB2312"/>
          <w:sz w:val="32"/>
          <w:szCs w:val="32"/>
          <w:lang w:eastAsia="zh-CN"/>
        </w:rPr>
      </w:pPr>
    </w:p>
    <w:p>
      <w:pPr>
        <w:pStyle w:val="2"/>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8DBD"/>
    <w:multiLevelType w:val="singleLevel"/>
    <w:tmpl w:val="28758DBD"/>
    <w:lvl w:ilvl="0" w:tentative="0">
      <w:start w:val="1"/>
      <w:numFmt w:val="bullet"/>
      <w:pStyle w:val="1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F21A3"/>
    <w:rsid w:val="130F1E6D"/>
    <w:rsid w:val="4148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customStyle="1" w:styleId="4">
    <w:name w:val="样式35"/>
    <w:basedOn w:val="5"/>
    <w:next w:val="9"/>
    <w:qFormat/>
    <w:uiPriority w:val="0"/>
    <w:pPr>
      <w:tabs>
        <w:tab w:val="left" w:pos="0"/>
        <w:tab w:val="left" w:pos="360"/>
        <w:tab w:val="left" w:pos="540"/>
        <w:tab w:val="left" w:pos="567"/>
      </w:tabs>
      <w:spacing w:line="312" w:lineRule="auto"/>
      <w:ind w:firstLine="567"/>
    </w:pPr>
    <w:rPr>
      <w:rFonts w:ascii="宋体"/>
    </w:rPr>
  </w:style>
  <w:style w:type="paragraph" w:customStyle="1" w:styleId="5">
    <w:name w:val="样式26"/>
    <w:basedOn w:val="6"/>
    <w:qFormat/>
    <w:uiPriority w:val="0"/>
    <w:pPr>
      <w:tabs>
        <w:tab w:val="left" w:pos="0"/>
        <w:tab w:val="left" w:pos="360"/>
        <w:tab w:val="left" w:pos="540"/>
        <w:tab w:val="left" w:pos="567"/>
      </w:tabs>
    </w:pPr>
  </w:style>
  <w:style w:type="paragraph" w:customStyle="1" w:styleId="6">
    <w:name w:val="样式21"/>
    <w:basedOn w:val="7"/>
    <w:qFormat/>
    <w:uiPriority w:val="0"/>
    <w:pPr>
      <w:tabs>
        <w:tab w:val="left" w:pos="360"/>
        <w:tab w:val="left" w:pos="567"/>
      </w:tabs>
      <w:spacing w:before="120" w:beforeLines="0" w:after="120" w:afterLines="0"/>
      <w:ind w:hanging="992"/>
    </w:pPr>
    <w:rPr>
      <w:kern w:val="0"/>
    </w:rPr>
  </w:style>
  <w:style w:type="paragraph" w:customStyle="1" w:styleId="7">
    <w:name w:val="样式5"/>
    <w:basedOn w:val="8"/>
    <w:qFormat/>
    <w:uiPriority w:val="0"/>
    <w:pPr>
      <w:tabs>
        <w:tab w:val="left" w:pos="360"/>
        <w:tab w:val="left" w:pos="567"/>
      </w:tabs>
      <w:ind w:hanging="567" w:firstLineChars="0"/>
    </w:pPr>
    <w:rPr>
      <w:rFonts w:cs="Times New Roman"/>
    </w:rPr>
  </w:style>
  <w:style w:type="paragraph" w:customStyle="1" w:styleId="8">
    <w:name w:val="样式12"/>
    <w:basedOn w:val="1"/>
    <w:qFormat/>
    <w:uiPriority w:val="0"/>
    <w:pPr>
      <w:keepNext/>
      <w:keepLines/>
      <w:tabs>
        <w:tab w:val="left" w:pos="360"/>
      </w:tabs>
      <w:adjustRightInd w:val="0"/>
      <w:snapToGrid w:val="0"/>
      <w:spacing w:before="156" w:beforeLines="50" w:after="156" w:afterLines="50" w:line="360" w:lineRule="auto"/>
      <w:ind w:left="567" w:hanging="992" w:firstLineChars="200"/>
      <w:outlineLvl w:val="1"/>
    </w:pPr>
    <w:rPr>
      <w:rFonts w:eastAsia="黑体"/>
      <w:sz w:val="28"/>
      <w:szCs w:val="28"/>
    </w:rPr>
  </w:style>
  <w:style w:type="paragraph" w:customStyle="1" w:styleId="9">
    <w:name w:val="font6"/>
    <w:basedOn w:val="1"/>
    <w:next w:val="10"/>
    <w:qFormat/>
    <w:uiPriority w:val="0"/>
    <w:pPr>
      <w:widowControl/>
      <w:spacing w:before="100" w:beforeAutospacing="1" w:after="100" w:afterAutospacing="1"/>
      <w:jc w:val="left"/>
    </w:pPr>
    <w:rPr>
      <w:rFonts w:ascii="宋体" w:hAnsi="宋体" w:cs="宋体"/>
      <w:kern w:val="0"/>
      <w:sz w:val="20"/>
    </w:rPr>
  </w:style>
  <w:style w:type="paragraph" w:styleId="10">
    <w:name w:val="toc 2"/>
    <w:basedOn w:val="1"/>
    <w:next w:val="1"/>
    <w:qFormat/>
    <w:uiPriority w:val="39"/>
    <w:pPr>
      <w:ind w:left="280"/>
      <w:jc w:val="left"/>
    </w:pPr>
    <w:rPr>
      <w:smallCaps/>
      <w:sz w:val="20"/>
      <w:szCs w:val="20"/>
    </w:rPr>
  </w:style>
  <w:style w:type="paragraph" w:styleId="11">
    <w:name w:val="E-mail Signature"/>
    <w:basedOn w:val="1"/>
    <w:next w:val="12"/>
    <w:qFormat/>
    <w:uiPriority w:val="0"/>
    <w:pPr>
      <w:spacing w:line="460" w:lineRule="exact"/>
      <w:ind w:firstLine="200"/>
    </w:pPr>
    <w:rPr>
      <w:rFonts w:ascii="Times New Roman" w:hAnsi="Times New Roman" w:eastAsia="宋体" w:cs="Times New Roman"/>
    </w:rPr>
  </w:style>
  <w:style w:type="paragraph" w:customStyle="1" w:styleId="12">
    <w:name w:val="文章"/>
    <w:basedOn w:val="1"/>
    <w:next w:val="13"/>
    <w:qFormat/>
    <w:uiPriority w:val="0"/>
    <w:pPr>
      <w:widowControl/>
      <w:spacing w:line="240" w:lineRule="auto"/>
      <w:ind w:firstLine="480"/>
      <w:jc w:val="center"/>
    </w:pPr>
    <w:rPr>
      <w:rFonts w:ascii="Times New Roman" w:hAnsi="Times New Roman" w:eastAsia="宋体" w:cs="Times New Roman"/>
      <w:sz w:val="26"/>
    </w:rPr>
  </w:style>
  <w:style w:type="paragraph" w:styleId="13">
    <w:name w:val="List"/>
    <w:basedOn w:val="1"/>
    <w:next w:val="14"/>
    <w:unhideWhenUsed/>
    <w:qFormat/>
    <w:uiPriority w:val="0"/>
    <w:pPr>
      <w:jc w:val="center"/>
    </w:pPr>
    <w:rPr>
      <w:sz w:val="24"/>
      <w:szCs w:val="28"/>
    </w:rPr>
  </w:style>
  <w:style w:type="paragraph" w:styleId="14">
    <w:name w:val="List Bullet 2"/>
    <w:basedOn w:val="1"/>
    <w:next w:val="15"/>
    <w:uiPriority w:val="0"/>
    <w:pPr>
      <w:numPr>
        <w:ilvl w:val="0"/>
        <w:numId w:val="1"/>
      </w:numPr>
    </w:pPr>
  </w:style>
  <w:style w:type="paragraph" w:customStyle="1" w:styleId="15">
    <w:name w:val="xl70"/>
    <w:basedOn w:val="1"/>
    <w:next w:val="16"/>
    <w:qFormat/>
    <w:uiPriority w:val="0"/>
    <w:pPr>
      <w:widowControl/>
      <w:spacing w:before="280" w:after="280" w:line="240" w:lineRule="auto"/>
      <w:ind w:firstLine="0"/>
    </w:pPr>
    <w:rPr>
      <w:rFonts w:ascii="宋体" w:hAnsi="Times New Roman" w:eastAsia="宋体" w:cs="Times New Roman"/>
    </w:rPr>
  </w:style>
  <w:style w:type="paragraph" w:customStyle="1" w:styleId="16">
    <w:name w:val="正文缩进1"/>
    <w:basedOn w:val="1"/>
    <w:next w:val="17"/>
    <w:qFormat/>
    <w:uiPriority w:val="0"/>
    <w:pPr>
      <w:ind w:firstLine="420" w:firstLineChars="200"/>
    </w:pPr>
    <w:rPr>
      <w:rFonts w:ascii="Times New Roman" w:hAnsi="Times New Roman" w:eastAsia="宋体" w:cs="Times New Roman"/>
      <w:sz w:val="24"/>
      <w:szCs w:val="24"/>
    </w:rPr>
  </w:style>
  <w:style w:type="paragraph" w:customStyle="1" w:styleId="17">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8">
    <w:name w:val="Body Text"/>
    <w:basedOn w:val="1"/>
    <w:uiPriority w:val="0"/>
    <w:pPr>
      <w:spacing w:after="1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2021-02-07T02:13:00Z</dcterms:created>
  <dc:creator>LENOVO</dc:creator>
  <cp:lastModifiedBy>sghnc</cp:lastModifiedBy>
  <cp:lastPrinted>2021-02-26T08:48:30Z</cp:lastPrinted>
  <dcterms:modified xsi:type="dcterms:W3CDTF">2021-02-26T10:19:27Z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