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</w:p>
    <w:p>
      <w:pPr>
        <w:jc w:val="center"/>
        <w:rPr>
          <w:rFonts w:hint="eastAsia" w:ascii="宋体" w:hAnsi="宋体" w:eastAsia="宋体" w:cs="宋体"/>
          <w:b/>
          <w:bCs/>
          <w:sz w:val="84"/>
          <w:szCs w:val="84"/>
        </w:rPr>
      </w:pPr>
      <w:r>
        <w:rPr>
          <w:rFonts w:hint="eastAsia" w:ascii="宋体" w:hAnsi="宋体" w:eastAsia="宋体" w:cs="宋体"/>
          <w:b/>
          <w:bCs/>
          <w:sz w:val="84"/>
          <w:szCs w:val="84"/>
        </w:rPr>
        <w:t>2017年</w:t>
      </w:r>
    </w:p>
    <w:p>
      <w:pPr>
        <w:jc w:val="center"/>
        <w:rPr>
          <w:rFonts w:hint="eastAsia" w:ascii="宋体" w:hAnsi="宋体" w:eastAsia="宋体" w:cs="宋体"/>
          <w:b/>
          <w:bCs/>
          <w:sz w:val="84"/>
          <w:szCs w:val="84"/>
        </w:rPr>
      </w:pPr>
      <w:r>
        <w:rPr>
          <w:rStyle w:val="5"/>
          <w:rFonts w:hint="eastAsia" w:ascii="宋体" w:hAnsi="宋体" w:eastAsia="宋体" w:cs="宋体"/>
          <w:b/>
          <w:bCs/>
          <w:kern w:val="0"/>
          <w:sz w:val="84"/>
          <w:szCs w:val="84"/>
        </w:rPr>
        <w:t>湛江市</w:t>
      </w:r>
      <w:r>
        <w:rPr>
          <w:rFonts w:hint="eastAsia" w:ascii="宋体" w:hAnsi="宋体" w:eastAsia="宋体" w:cs="宋体"/>
          <w:b/>
          <w:bCs/>
          <w:sz w:val="84"/>
          <w:szCs w:val="84"/>
        </w:rPr>
        <w:t>霞山</w:t>
      </w:r>
      <w:r>
        <w:rPr>
          <w:rFonts w:hint="eastAsia" w:ascii="宋体" w:hAnsi="宋体" w:eastAsia="宋体" w:cs="宋体"/>
          <w:b/>
          <w:bCs/>
          <w:sz w:val="84"/>
          <w:szCs w:val="84"/>
          <w:lang w:eastAsia="zh-CN"/>
        </w:rPr>
        <w:t>区</w:t>
      </w:r>
      <w:r>
        <w:rPr>
          <w:rFonts w:hint="eastAsia" w:ascii="方正小标宋简体" w:eastAsia="方正小标宋简体"/>
          <w:sz w:val="84"/>
          <w:szCs w:val="84"/>
        </w:rPr>
        <w:t>海滨</w:t>
      </w:r>
      <w:r>
        <w:rPr>
          <w:rFonts w:hint="eastAsia" w:ascii="宋体" w:hAnsi="宋体" w:eastAsia="宋体" w:cs="宋体"/>
          <w:b/>
          <w:bCs/>
          <w:color w:val="auto"/>
          <w:sz w:val="84"/>
          <w:szCs w:val="84"/>
        </w:rPr>
        <w:t>街道社区卫生服务中心</w:t>
      </w:r>
      <w:r>
        <w:rPr>
          <w:rFonts w:hint="eastAsia" w:ascii="宋体" w:hAnsi="宋体" w:eastAsia="宋体" w:cs="宋体"/>
          <w:b/>
          <w:bCs/>
          <w:sz w:val="84"/>
          <w:szCs w:val="84"/>
        </w:rPr>
        <w:t>部门预算</w:t>
      </w:r>
    </w:p>
    <w:p>
      <w:pPr>
        <w:spacing w:line="360" w:lineRule="auto"/>
        <w:ind w:left="420"/>
        <w:jc w:val="center"/>
        <w:rPr>
          <w:rFonts w:ascii="宋体" w:cs="宋体"/>
          <w:b/>
          <w:bCs/>
          <w:sz w:val="44"/>
          <w:szCs w:val="44"/>
        </w:rPr>
      </w:pPr>
    </w:p>
    <w:p>
      <w:pPr>
        <w:spacing w:line="360" w:lineRule="auto"/>
        <w:ind w:left="420"/>
        <w:jc w:val="center"/>
        <w:rPr>
          <w:rFonts w:ascii="宋体" w:cs="宋体"/>
          <w:b/>
          <w:bCs/>
          <w:sz w:val="44"/>
          <w:szCs w:val="44"/>
        </w:rPr>
      </w:pPr>
    </w:p>
    <w:p>
      <w:pPr>
        <w:spacing w:line="360" w:lineRule="auto"/>
        <w:ind w:left="420"/>
        <w:jc w:val="center"/>
        <w:rPr>
          <w:rFonts w:ascii="宋体" w:cs="宋体"/>
          <w:b/>
          <w:bCs/>
          <w:sz w:val="44"/>
          <w:szCs w:val="44"/>
        </w:rPr>
      </w:pPr>
    </w:p>
    <w:p>
      <w:pPr>
        <w:spacing w:line="360" w:lineRule="auto"/>
        <w:ind w:left="420"/>
        <w:jc w:val="center"/>
        <w:rPr>
          <w:rFonts w:ascii="宋体" w:cs="宋体"/>
          <w:b/>
          <w:bCs/>
          <w:sz w:val="44"/>
          <w:szCs w:val="44"/>
        </w:rPr>
      </w:pPr>
    </w:p>
    <w:p>
      <w:pPr>
        <w:spacing w:line="360" w:lineRule="auto"/>
        <w:ind w:left="420"/>
        <w:jc w:val="center"/>
        <w:rPr>
          <w:rFonts w:ascii="宋体" w:cs="宋体"/>
          <w:b/>
          <w:bCs/>
          <w:sz w:val="44"/>
          <w:szCs w:val="44"/>
        </w:rPr>
      </w:pPr>
    </w:p>
    <w:p>
      <w:pPr>
        <w:spacing w:line="360" w:lineRule="auto"/>
        <w:ind w:left="420"/>
        <w:jc w:val="center"/>
        <w:rPr>
          <w:rFonts w:ascii="宋体" w:cs="宋体"/>
          <w:b/>
          <w:bCs/>
          <w:sz w:val="44"/>
          <w:szCs w:val="44"/>
        </w:rPr>
      </w:pPr>
    </w:p>
    <w:p>
      <w:pPr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目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/>
        <w:textAlignment w:val="auto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第一部分</w:t>
      </w:r>
      <w:r>
        <w:rPr>
          <w:rFonts w:ascii="黑体" w:hAnsi="黑体" w:eastAsia="黑体" w:cs="黑体"/>
          <w:sz w:val="32"/>
          <w:szCs w:val="32"/>
        </w:rPr>
        <w:t xml:space="preserve">   2017 </w:t>
      </w:r>
      <w:r>
        <w:rPr>
          <w:rFonts w:hint="eastAsia" w:ascii="黑体" w:hAnsi="黑体" w:eastAsia="黑体" w:cs="黑体"/>
          <w:sz w:val="32"/>
          <w:szCs w:val="32"/>
        </w:rPr>
        <w:t>年</w:t>
      </w:r>
      <w:r>
        <w:rPr>
          <w:rStyle w:val="5"/>
          <w:rFonts w:hint="eastAsia" w:ascii="宋体" w:hAnsi="宋体" w:cs="宋体"/>
          <w:kern w:val="0"/>
          <w:sz w:val="32"/>
          <w:szCs w:val="32"/>
        </w:rPr>
        <w:t>湛江市</w:t>
      </w:r>
      <w:r>
        <w:rPr>
          <w:rFonts w:hint="eastAsia" w:ascii="宋体" w:hAnsi="宋体"/>
          <w:b/>
          <w:sz w:val="32"/>
          <w:szCs w:val="32"/>
        </w:rPr>
        <w:t>霞山</w:t>
      </w:r>
      <w:r>
        <w:rPr>
          <w:rFonts w:hint="eastAsia" w:ascii="宋体" w:hAnsi="宋体"/>
          <w:b/>
          <w:sz w:val="32"/>
          <w:szCs w:val="32"/>
          <w:lang w:eastAsia="zh-CN"/>
        </w:rPr>
        <w:t>区</w:t>
      </w:r>
      <w:r>
        <w:rPr>
          <w:rFonts w:hint="eastAsia" w:ascii="方正小标宋简体" w:eastAsia="方正小标宋简体"/>
          <w:sz w:val="32"/>
          <w:szCs w:val="32"/>
        </w:rPr>
        <w:t>海滨</w:t>
      </w:r>
      <w:r>
        <w:rPr>
          <w:rFonts w:hint="eastAsia" w:ascii="黑体" w:hAnsi="宋体" w:eastAsia="黑体"/>
          <w:color w:val="auto"/>
          <w:sz w:val="32"/>
          <w:szCs w:val="32"/>
        </w:rPr>
        <w:t>街道社区卫生服务中心</w:t>
      </w:r>
      <w:r>
        <w:rPr>
          <w:rFonts w:ascii="黑体" w:hAnsi="黑体" w:eastAsia="黑体" w:cs="黑体"/>
          <w:sz w:val="32"/>
          <w:szCs w:val="32"/>
        </w:rPr>
        <w:t xml:space="preserve"> </w:t>
      </w:r>
      <w:r>
        <w:rPr>
          <w:rFonts w:hint="eastAsia" w:ascii="黑体" w:hAnsi="黑体" w:eastAsia="黑体" w:cs="黑体"/>
          <w:sz w:val="32"/>
          <w:szCs w:val="32"/>
        </w:rPr>
        <w:t>部门预算基本情况说明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部门基本情况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 w:firstLine="1280" w:firstLineChars="4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（一）主要职责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 w:firstLine="1280" w:firstLineChars="4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（二）机构设置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二、收入预算说明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三、支出预算说明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</w:t>
      </w:r>
      <w:r>
        <w:rPr>
          <w:rFonts w:ascii="仿宋_GB2312" w:hAnsi="仿宋_GB2312" w:eastAsia="仿宋_GB2312" w:cs="仿宋_GB2312"/>
          <w:sz w:val="32"/>
          <w:szCs w:val="32"/>
        </w:rPr>
        <w:t>"</w:t>
      </w:r>
      <w:r>
        <w:rPr>
          <w:rFonts w:hint="eastAsia" w:ascii="仿宋_GB2312" w:hAnsi="仿宋_GB2312" w:eastAsia="仿宋_GB2312" w:cs="仿宋_GB2312"/>
          <w:sz w:val="32"/>
          <w:szCs w:val="32"/>
        </w:rPr>
        <w:t>三公</w:t>
      </w:r>
      <w:r>
        <w:rPr>
          <w:rFonts w:ascii="仿宋_GB2312" w:hAnsi="仿宋_GB2312" w:eastAsia="仿宋_GB2312" w:cs="仿宋_GB2312"/>
          <w:sz w:val="32"/>
          <w:szCs w:val="32"/>
        </w:rPr>
        <w:t>"</w:t>
      </w:r>
      <w:r>
        <w:rPr>
          <w:rFonts w:hint="eastAsia" w:ascii="仿宋_GB2312" w:hAnsi="仿宋_GB2312" w:eastAsia="仿宋_GB2312" w:cs="仿宋_GB2312"/>
          <w:sz w:val="32"/>
          <w:szCs w:val="32"/>
        </w:rPr>
        <w:t>经费说明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五、其他需要说明的情况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（一）机关运行经费情况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（二）政府采购安排情况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 w:firstLine="1280" w:firstLineChars="4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国有资产占有使用情况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 w:firstLine="1280" w:firstLineChars="4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重点项目预算绩效目标设置情况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 w:firstLine="1280" w:firstLineChars="4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（五）专业名词解释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/>
        <w:textAlignment w:val="auto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第二部分</w:t>
      </w:r>
      <w:r>
        <w:rPr>
          <w:rFonts w:ascii="黑体" w:hAnsi="黑体" w:eastAsia="黑体" w:cs="黑体"/>
          <w:sz w:val="32"/>
          <w:szCs w:val="32"/>
        </w:rPr>
        <w:t xml:space="preserve">    2017 </w:t>
      </w:r>
      <w:r>
        <w:rPr>
          <w:rFonts w:hint="eastAsia" w:ascii="黑体" w:hAnsi="黑体" w:eastAsia="黑体" w:cs="黑体"/>
          <w:sz w:val="32"/>
          <w:szCs w:val="32"/>
        </w:rPr>
        <w:t>年</w:t>
      </w:r>
      <w:r>
        <w:rPr>
          <w:rStyle w:val="5"/>
          <w:rFonts w:hint="eastAsia" w:ascii="宋体" w:hAnsi="宋体" w:cs="宋体"/>
          <w:kern w:val="0"/>
          <w:sz w:val="32"/>
          <w:szCs w:val="32"/>
        </w:rPr>
        <w:t>湛江市</w:t>
      </w:r>
      <w:r>
        <w:rPr>
          <w:rFonts w:hint="eastAsia" w:ascii="宋体" w:hAnsi="宋体"/>
          <w:b/>
          <w:sz w:val="32"/>
          <w:szCs w:val="32"/>
        </w:rPr>
        <w:t>霞山</w:t>
      </w:r>
      <w:r>
        <w:rPr>
          <w:rFonts w:hint="eastAsia" w:ascii="宋体" w:hAnsi="宋体"/>
          <w:b/>
          <w:sz w:val="32"/>
          <w:szCs w:val="32"/>
          <w:lang w:eastAsia="zh-CN"/>
        </w:rPr>
        <w:t>区</w:t>
      </w:r>
      <w:r>
        <w:rPr>
          <w:rFonts w:hint="eastAsia" w:ascii="方正小标宋简体" w:eastAsia="方正小标宋简体"/>
          <w:sz w:val="32"/>
          <w:szCs w:val="32"/>
        </w:rPr>
        <w:t>海滨</w:t>
      </w:r>
      <w:r>
        <w:rPr>
          <w:rFonts w:hint="eastAsia" w:ascii="黑体" w:hAnsi="宋体" w:eastAsia="黑体"/>
          <w:color w:val="auto"/>
          <w:sz w:val="32"/>
          <w:szCs w:val="32"/>
        </w:rPr>
        <w:t>街道社区卫生服务中心</w:t>
      </w:r>
      <w:r>
        <w:rPr>
          <w:rFonts w:ascii="黑体" w:hAnsi="黑体" w:eastAsia="黑体" w:cs="黑体"/>
          <w:sz w:val="32"/>
          <w:szCs w:val="32"/>
        </w:rPr>
        <w:t xml:space="preserve"> </w:t>
      </w:r>
      <w:r>
        <w:rPr>
          <w:rFonts w:hint="eastAsia" w:ascii="黑体" w:hAnsi="黑体" w:eastAsia="黑体" w:cs="黑体"/>
          <w:sz w:val="32"/>
          <w:szCs w:val="32"/>
        </w:rPr>
        <w:t>部门预算表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一、</w:t>
      </w:r>
      <w:r>
        <w:rPr>
          <w:rFonts w:ascii="仿宋_GB2312" w:hAnsi="仿宋_GB2312" w:eastAsia="仿宋_GB2312" w:cs="仿宋_GB2312"/>
          <w:sz w:val="32"/>
          <w:szCs w:val="32"/>
        </w:rPr>
        <w:t>2017</w:t>
      </w:r>
      <w:r>
        <w:rPr>
          <w:rFonts w:hint="eastAsia" w:ascii="仿宋_GB2312" w:hAnsi="仿宋_GB2312" w:eastAsia="仿宋_GB2312" w:cs="仿宋_GB2312"/>
          <w:sz w:val="32"/>
          <w:szCs w:val="32"/>
        </w:rPr>
        <w:t>年财政拨款收支总表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</w:t>
      </w:r>
      <w:r>
        <w:rPr>
          <w:rFonts w:ascii="仿宋_GB2312" w:hAnsi="仿宋_GB2312" w:eastAsia="仿宋_GB2312" w:cs="仿宋_GB2312"/>
          <w:sz w:val="32"/>
          <w:szCs w:val="32"/>
        </w:rPr>
        <w:t>2017</w:t>
      </w:r>
      <w:r>
        <w:rPr>
          <w:rFonts w:hint="eastAsia" w:ascii="仿宋_GB2312" w:hAnsi="仿宋_GB2312" w:eastAsia="仿宋_GB2312" w:cs="仿宋_GB2312"/>
          <w:sz w:val="32"/>
          <w:szCs w:val="32"/>
        </w:rPr>
        <w:t>年一般公共预算支出表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</w:t>
      </w:r>
      <w:r>
        <w:rPr>
          <w:rFonts w:ascii="仿宋_GB2312" w:hAnsi="仿宋_GB2312" w:eastAsia="仿宋_GB2312" w:cs="仿宋_GB2312"/>
          <w:sz w:val="32"/>
          <w:szCs w:val="32"/>
        </w:rPr>
        <w:t>2017</w:t>
      </w:r>
      <w:r>
        <w:rPr>
          <w:rFonts w:hint="eastAsia" w:ascii="仿宋_GB2312" w:hAnsi="仿宋_GB2312" w:eastAsia="仿宋_GB2312" w:cs="仿宋_GB2312"/>
          <w:sz w:val="32"/>
          <w:szCs w:val="32"/>
        </w:rPr>
        <w:t>年一般公共预算基本支出表（部门经济分类）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</w:t>
      </w:r>
      <w:r>
        <w:rPr>
          <w:rFonts w:ascii="仿宋_GB2312" w:hAnsi="仿宋_GB2312" w:eastAsia="仿宋_GB2312" w:cs="仿宋_GB2312"/>
          <w:sz w:val="32"/>
          <w:szCs w:val="32"/>
        </w:rPr>
        <w:t>2017</w:t>
      </w:r>
      <w:r>
        <w:rPr>
          <w:rFonts w:hint="eastAsia" w:ascii="仿宋_GB2312" w:hAnsi="仿宋_GB2312" w:eastAsia="仿宋_GB2312" w:cs="仿宋_GB2312"/>
          <w:sz w:val="32"/>
          <w:szCs w:val="32"/>
        </w:rPr>
        <w:t>年一般公共预算“三公”经费支出表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五、</w:t>
      </w:r>
      <w:r>
        <w:rPr>
          <w:rFonts w:ascii="仿宋_GB2312" w:hAnsi="仿宋_GB2312" w:eastAsia="仿宋_GB2312" w:cs="仿宋_GB2312"/>
          <w:sz w:val="32"/>
          <w:szCs w:val="32"/>
        </w:rPr>
        <w:t>2017</w:t>
      </w:r>
      <w:r>
        <w:rPr>
          <w:rFonts w:hint="eastAsia" w:ascii="仿宋_GB2312" w:hAnsi="仿宋_GB2312" w:eastAsia="仿宋_GB2312" w:cs="仿宋_GB2312"/>
          <w:sz w:val="32"/>
          <w:szCs w:val="32"/>
        </w:rPr>
        <w:t>年政府性基金预算支出表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六、</w:t>
      </w:r>
      <w:r>
        <w:rPr>
          <w:rFonts w:ascii="仿宋_GB2312" w:hAnsi="仿宋_GB2312" w:eastAsia="仿宋_GB2312" w:cs="仿宋_GB2312"/>
          <w:sz w:val="32"/>
          <w:szCs w:val="32"/>
        </w:rPr>
        <w:t>2017</w:t>
      </w:r>
      <w:r>
        <w:rPr>
          <w:rFonts w:hint="eastAsia" w:ascii="仿宋_GB2312" w:hAnsi="仿宋_GB2312" w:eastAsia="仿宋_GB2312" w:cs="仿宋_GB2312"/>
          <w:sz w:val="32"/>
          <w:szCs w:val="32"/>
        </w:rPr>
        <w:t>年部门收支总表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七</w:t>
      </w:r>
      <w:r>
        <w:rPr>
          <w:rFonts w:hint="eastAsia" w:ascii="仿宋_GB2312" w:hAnsi="仿宋_GB2312" w:eastAsia="仿宋_GB2312" w:cs="仿宋_GB2312"/>
          <w:sz w:val="32"/>
          <w:szCs w:val="32"/>
        </w:rPr>
        <w:t>、</w:t>
      </w:r>
      <w:r>
        <w:rPr>
          <w:rFonts w:ascii="仿宋_GB2312" w:hAnsi="仿宋_GB2312" w:eastAsia="仿宋_GB2312" w:cs="仿宋_GB2312"/>
          <w:sz w:val="32"/>
          <w:szCs w:val="32"/>
        </w:rPr>
        <w:t>2017</w:t>
      </w:r>
      <w:r>
        <w:rPr>
          <w:rFonts w:hint="eastAsia" w:ascii="仿宋_GB2312" w:hAnsi="仿宋_GB2312" w:eastAsia="仿宋_GB2312" w:cs="仿宋_GB2312"/>
          <w:sz w:val="32"/>
          <w:szCs w:val="32"/>
        </w:rPr>
        <w:t>年部门收入表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八</w:t>
      </w:r>
      <w:r>
        <w:rPr>
          <w:rFonts w:hint="eastAsia" w:ascii="仿宋_GB2312" w:hAnsi="仿宋_GB2312" w:eastAsia="仿宋_GB2312" w:cs="仿宋_GB2312"/>
          <w:sz w:val="32"/>
          <w:szCs w:val="32"/>
        </w:rPr>
        <w:t>、</w:t>
      </w:r>
      <w:r>
        <w:rPr>
          <w:rFonts w:ascii="仿宋_GB2312" w:hAnsi="仿宋_GB2312" w:eastAsia="仿宋_GB2312" w:cs="仿宋_GB2312"/>
          <w:sz w:val="32"/>
          <w:szCs w:val="32"/>
        </w:rPr>
        <w:t>2017</w:t>
      </w:r>
      <w:r>
        <w:rPr>
          <w:rFonts w:hint="eastAsia" w:ascii="仿宋_GB2312" w:hAnsi="仿宋_GB2312" w:eastAsia="仿宋_GB2312" w:cs="仿宋_GB2312"/>
          <w:sz w:val="32"/>
          <w:szCs w:val="32"/>
        </w:rPr>
        <w:t>年部门支出表</w:t>
      </w:r>
    </w:p>
    <w:p>
      <w:pPr>
        <w:ind w:left="420"/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2017年湛江市霞山</w:t>
      </w:r>
      <w:r>
        <w:rPr>
          <w:rFonts w:hint="eastAsia" w:ascii="宋体" w:hAnsi="宋体"/>
          <w:b/>
          <w:sz w:val="36"/>
          <w:szCs w:val="36"/>
          <w:lang w:eastAsia="zh-CN"/>
        </w:rPr>
        <w:t>区</w:t>
      </w:r>
      <w:r>
        <w:rPr>
          <w:rFonts w:hint="eastAsia" w:ascii="方正小标宋简体" w:eastAsia="方正小标宋简体"/>
          <w:sz w:val="36"/>
          <w:szCs w:val="36"/>
        </w:rPr>
        <w:t>海滨</w:t>
      </w:r>
      <w:r>
        <w:rPr>
          <w:rFonts w:hint="eastAsia" w:ascii="黑体" w:hAnsi="宋体" w:eastAsia="黑体"/>
          <w:color w:val="auto"/>
          <w:sz w:val="36"/>
          <w:szCs w:val="36"/>
        </w:rPr>
        <w:t>街道社区卫生服务中心</w:t>
      </w:r>
      <w:r>
        <w:rPr>
          <w:rFonts w:hint="eastAsia" w:ascii="宋体" w:hAnsi="宋体"/>
          <w:b/>
          <w:sz w:val="36"/>
          <w:szCs w:val="36"/>
        </w:rPr>
        <w:t>预算基本情况说明</w:t>
      </w:r>
    </w:p>
    <w:p>
      <w:bookmarkStart w:id="0" w:name="_GoBack"/>
      <w:bookmarkEnd w:id="0"/>
    </w:p>
    <w:p/>
    <w:p>
      <w:pPr>
        <w:pStyle w:val="9"/>
        <w:numPr>
          <w:ilvl w:val="0"/>
          <w:numId w:val="3"/>
        </w:numPr>
        <w:spacing w:line="560" w:lineRule="exact"/>
        <w:ind w:firstLineChars="0"/>
        <w:outlineLvl w:val="0"/>
        <w:rPr>
          <w:rFonts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部门基本情况</w:t>
      </w:r>
    </w:p>
    <w:p>
      <w:pPr>
        <w:spacing w:line="288" w:lineRule="auto"/>
        <w:ind w:firstLine="643" w:firstLineChars="200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（一）主要职责</w:t>
      </w:r>
    </w:p>
    <w:p>
      <w:pPr>
        <w:spacing w:line="288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城市社区卫生服务机构以社区、家庭和居民为服务对象，主要承担基本公共卫生服务和一般常见病、多发病的基本医疗服务，实行社区健康信息网络化管理，开展社区健康教育讲座，建立个人健康档案，每年免费为65岁以上老年人健康体检及糖尿病的筛查工作，建立慢性病档案；对糖尿病、高血压、重性精神病等进行检测和随访。为人民群众提供预防保健、全科医疗、妇女儿童保健、健康教育宣传、计生门诊、计生咨询、卫生指导等公共卫生服务。</w:t>
      </w:r>
    </w:p>
    <w:p>
      <w:pPr>
        <w:spacing w:line="288" w:lineRule="auto"/>
        <w:ind w:firstLine="643" w:firstLineChars="200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</w:t>
      </w:r>
      <w:r>
        <w:rPr>
          <w:rFonts w:hint="eastAsia" w:ascii="仿宋_GB2312" w:eastAsia="仿宋_GB2312"/>
          <w:b/>
          <w:sz w:val="32"/>
          <w:szCs w:val="32"/>
          <w:lang w:eastAsia="zh-CN"/>
        </w:rPr>
        <w:t>二</w:t>
      </w:r>
      <w:r>
        <w:rPr>
          <w:rFonts w:hint="eastAsia" w:ascii="仿宋_GB2312" w:eastAsia="仿宋_GB2312"/>
          <w:b/>
          <w:sz w:val="32"/>
          <w:szCs w:val="32"/>
        </w:rPr>
        <w:t>）机构设置</w:t>
      </w:r>
    </w:p>
    <w:p>
      <w:pPr>
        <w:pStyle w:val="9"/>
        <w:spacing w:line="560" w:lineRule="exac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本部门无下属单位，部门预算为本级预算。</w:t>
      </w:r>
      <w:r>
        <w:rPr>
          <w:rFonts w:hint="eastAsia" w:ascii="仿宋" w:hAnsi="仿宋" w:eastAsia="仿宋" w:cs="仿宋"/>
          <w:sz w:val="32"/>
          <w:szCs w:val="32"/>
        </w:rPr>
        <w:t>海滨街道社区卫生服务中心是为公益一类事业单位，正股级，隶属霞山区卫计局管理，为城乡居民医保定点医疗机构。</w:t>
      </w:r>
    </w:p>
    <w:p>
      <w:pPr>
        <w:pStyle w:val="9"/>
        <w:spacing w:line="560" w:lineRule="exact"/>
        <w:ind w:firstLine="3168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全中心总编人员</w:t>
      </w:r>
      <w:r>
        <w:rPr>
          <w:rFonts w:ascii="仿宋" w:hAnsi="仿宋" w:eastAsia="仿宋" w:cs="仿宋"/>
          <w:sz w:val="32"/>
          <w:szCs w:val="32"/>
        </w:rPr>
        <w:t>20</w:t>
      </w:r>
      <w:r>
        <w:rPr>
          <w:rFonts w:hint="eastAsia" w:ascii="仿宋" w:hAnsi="仿宋" w:eastAsia="仿宋" w:cs="仿宋"/>
          <w:sz w:val="32"/>
          <w:szCs w:val="32"/>
        </w:rPr>
        <w:t>人，截至</w:t>
      </w:r>
      <w:r>
        <w:rPr>
          <w:rFonts w:ascii="仿宋" w:hAnsi="仿宋" w:eastAsia="仿宋" w:cs="仿宋"/>
          <w:sz w:val="32"/>
          <w:szCs w:val="32"/>
        </w:rPr>
        <w:t>2016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ascii="仿宋" w:hAnsi="仿宋" w:eastAsia="仿宋" w:cs="仿宋"/>
          <w:sz w:val="32"/>
          <w:szCs w:val="32"/>
        </w:rPr>
        <w:t>8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ascii="仿宋" w:hAnsi="仿宋" w:eastAsia="仿宋" w:cs="仿宋"/>
          <w:sz w:val="32"/>
          <w:szCs w:val="32"/>
        </w:rPr>
        <w:t>31</w:t>
      </w:r>
      <w:r>
        <w:rPr>
          <w:rFonts w:hint="eastAsia" w:ascii="仿宋" w:hAnsi="仿宋" w:eastAsia="仿宋" w:cs="仿宋"/>
          <w:sz w:val="32"/>
          <w:szCs w:val="32"/>
        </w:rPr>
        <w:t>日止职工人数</w:t>
      </w:r>
      <w:r>
        <w:rPr>
          <w:rFonts w:ascii="仿宋" w:hAnsi="仿宋" w:eastAsia="仿宋" w:cs="仿宋"/>
          <w:sz w:val="32"/>
          <w:szCs w:val="32"/>
        </w:rPr>
        <w:t>19</w:t>
      </w:r>
      <w:r>
        <w:rPr>
          <w:rFonts w:hint="eastAsia" w:ascii="仿宋" w:hAnsi="仿宋" w:eastAsia="仿宋" w:cs="仿宋"/>
          <w:sz w:val="32"/>
          <w:szCs w:val="32"/>
        </w:rPr>
        <w:t>人（其中</w:t>
      </w:r>
      <w:r>
        <w:rPr>
          <w:rFonts w:ascii="仿宋" w:hAnsi="仿宋" w:eastAsia="仿宋" w:cs="仿宋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人退休）。分设全科门诊、预防接种、儿童保健室、健康档案室、特检室、行政办公室等科室主要负责预防、医疗、保健、康复、健康教育、计生服务等工作。</w:t>
      </w:r>
    </w:p>
    <w:p>
      <w:pPr>
        <w:spacing w:line="288" w:lineRule="auto"/>
        <w:ind w:firstLine="643" w:firstLineChars="200"/>
        <w:outlineLvl w:val="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二、收入预算说明</w:t>
      </w:r>
    </w:p>
    <w:p>
      <w:pPr>
        <w:spacing w:line="288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2017</w:t>
      </w:r>
      <w:r>
        <w:rPr>
          <w:rFonts w:hint="eastAsia" w:ascii="仿宋_GB2312" w:eastAsia="仿宋_GB2312"/>
          <w:sz w:val="32"/>
          <w:szCs w:val="32"/>
        </w:rPr>
        <w:t>年收入预算</w:t>
      </w:r>
      <w:r>
        <w:rPr>
          <w:rFonts w:ascii="仿宋_GB2312" w:eastAsia="仿宋_GB2312"/>
          <w:sz w:val="32"/>
          <w:szCs w:val="32"/>
        </w:rPr>
        <w:t>108.43</w:t>
      </w:r>
      <w:r>
        <w:rPr>
          <w:rFonts w:hint="eastAsia" w:ascii="仿宋_GB2312" w:eastAsia="仿宋_GB2312"/>
          <w:sz w:val="32"/>
          <w:szCs w:val="32"/>
        </w:rPr>
        <w:t>万元，</w:t>
      </w:r>
      <w:r>
        <w:rPr>
          <w:rFonts w:hint="eastAsia" w:ascii="仿宋" w:hAnsi="仿宋" w:eastAsia="仿宋"/>
          <w:sz w:val="32"/>
          <w:szCs w:val="32"/>
          <w:lang w:eastAsia="zh-CN"/>
        </w:rPr>
        <w:t>下降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3.28%</w:t>
      </w:r>
      <w:r>
        <w:rPr>
          <w:rFonts w:hint="eastAsia" w:ascii="仿宋" w:hAnsi="仿宋" w:eastAsia="仿宋"/>
          <w:sz w:val="32"/>
          <w:szCs w:val="32"/>
        </w:rPr>
        <w:t>。减少的原因是上级补助减少。</w:t>
      </w:r>
      <w:r>
        <w:rPr>
          <w:rFonts w:hint="eastAsia" w:ascii="仿宋_GB2312" w:eastAsia="仿宋_GB2312"/>
          <w:sz w:val="32"/>
          <w:szCs w:val="32"/>
        </w:rPr>
        <w:t>其中：预算经费安排拨款</w:t>
      </w:r>
      <w:r>
        <w:rPr>
          <w:rFonts w:ascii="仿宋_GB2312" w:eastAsia="仿宋_GB2312"/>
          <w:sz w:val="32"/>
          <w:szCs w:val="32"/>
        </w:rPr>
        <w:t>108.43</w:t>
      </w:r>
      <w:r>
        <w:rPr>
          <w:rFonts w:hint="eastAsia" w:ascii="仿宋_GB2312" w:eastAsia="仿宋_GB2312"/>
          <w:sz w:val="32"/>
          <w:szCs w:val="32"/>
        </w:rPr>
        <w:t>万元，其他非税收入安排拨款</w:t>
      </w:r>
      <w:r>
        <w:rPr>
          <w:rFonts w:ascii="仿宋_GB2312" w:eastAsia="仿宋_GB2312"/>
          <w:sz w:val="32"/>
          <w:szCs w:val="32"/>
        </w:rPr>
        <w:t>0</w:t>
      </w:r>
      <w:r>
        <w:rPr>
          <w:rFonts w:hint="eastAsia" w:ascii="仿宋_GB2312" w:eastAsia="仿宋_GB2312"/>
          <w:sz w:val="32"/>
          <w:szCs w:val="32"/>
        </w:rPr>
        <w:t>万元。</w:t>
      </w:r>
    </w:p>
    <w:p>
      <w:pPr>
        <w:spacing w:line="288" w:lineRule="auto"/>
        <w:ind w:firstLine="643" w:firstLineChars="20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三、支出预算说明</w:t>
      </w:r>
    </w:p>
    <w:p>
      <w:pPr>
        <w:spacing w:line="4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2017</w:t>
      </w:r>
      <w:r>
        <w:rPr>
          <w:rFonts w:hint="eastAsia" w:ascii="仿宋_GB2312" w:eastAsia="仿宋_GB2312"/>
          <w:sz w:val="32"/>
          <w:szCs w:val="32"/>
        </w:rPr>
        <w:t>年支出预算</w:t>
      </w:r>
      <w:r>
        <w:rPr>
          <w:rFonts w:ascii="仿宋_GB2312" w:eastAsia="仿宋_GB2312"/>
          <w:sz w:val="32"/>
          <w:szCs w:val="32"/>
        </w:rPr>
        <w:t>108.43</w:t>
      </w:r>
      <w:r>
        <w:rPr>
          <w:rFonts w:hint="eastAsia" w:ascii="仿宋_GB2312" w:eastAsia="仿宋_GB2312"/>
          <w:sz w:val="32"/>
          <w:szCs w:val="32"/>
        </w:rPr>
        <w:t>万元，</w:t>
      </w:r>
      <w:r>
        <w:rPr>
          <w:rFonts w:hint="eastAsia" w:ascii="仿宋" w:hAnsi="仿宋" w:eastAsia="仿宋"/>
          <w:sz w:val="32"/>
          <w:szCs w:val="32"/>
          <w:lang w:eastAsia="zh-CN"/>
        </w:rPr>
        <w:t>下降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3.28%</w:t>
      </w:r>
      <w:r>
        <w:rPr>
          <w:rFonts w:hint="eastAsia" w:ascii="仿宋" w:hAnsi="仿宋" w:eastAsia="仿宋"/>
          <w:sz w:val="32"/>
          <w:szCs w:val="32"/>
        </w:rPr>
        <w:t>。减少的原因是上级补助减少。</w:t>
      </w:r>
      <w:r>
        <w:rPr>
          <w:rFonts w:hint="eastAsia" w:ascii="仿宋_GB2312" w:eastAsia="仿宋_GB2312"/>
          <w:sz w:val="32"/>
          <w:szCs w:val="32"/>
        </w:rPr>
        <w:t>支出按经济分类划分：</w:t>
      </w:r>
      <w:r>
        <w:rPr>
          <w:rFonts w:ascii="仿宋_GB2312" w:eastAsia="仿宋_GB2312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</w:rPr>
        <w:t>、基本支出预算</w:t>
      </w:r>
      <w:r>
        <w:rPr>
          <w:rFonts w:ascii="仿宋_GB2312" w:eastAsia="仿宋_GB2312"/>
          <w:sz w:val="32"/>
          <w:szCs w:val="32"/>
        </w:rPr>
        <w:t>103.49</w:t>
      </w:r>
      <w:r>
        <w:rPr>
          <w:rFonts w:hint="eastAsia" w:ascii="仿宋_GB2312" w:eastAsia="仿宋_GB2312"/>
          <w:sz w:val="32"/>
          <w:szCs w:val="32"/>
        </w:rPr>
        <w:t>万元，其中：工资福利支出</w:t>
      </w:r>
      <w:r>
        <w:rPr>
          <w:rFonts w:ascii="仿宋_GB2312" w:eastAsia="仿宋_GB2312"/>
          <w:sz w:val="32"/>
          <w:szCs w:val="32"/>
        </w:rPr>
        <w:t>97.94</w:t>
      </w:r>
      <w:r>
        <w:rPr>
          <w:rFonts w:hint="eastAsia" w:ascii="仿宋_GB2312" w:eastAsia="仿宋_GB2312"/>
          <w:sz w:val="32"/>
          <w:szCs w:val="32"/>
        </w:rPr>
        <w:t>万元，对个人和家庭的补助支出</w:t>
      </w:r>
      <w:r>
        <w:rPr>
          <w:rFonts w:ascii="仿宋_GB2312" w:eastAsia="仿宋_GB2312"/>
          <w:sz w:val="32"/>
          <w:szCs w:val="32"/>
        </w:rPr>
        <w:t>5.55</w:t>
      </w:r>
      <w:r>
        <w:rPr>
          <w:rFonts w:hint="eastAsia" w:ascii="仿宋_GB2312" w:eastAsia="仿宋_GB2312"/>
          <w:sz w:val="32"/>
          <w:szCs w:val="32"/>
        </w:rPr>
        <w:t>万元；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</w:rPr>
        <w:t>、项目支出预算</w:t>
      </w:r>
      <w:r>
        <w:rPr>
          <w:rFonts w:ascii="仿宋_GB2312" w:eastAsia="仿宋_GB2312"/>
          <w:sz w:val="32"/>
          <w:szCs w:val="32"/>
        </w:rPr>
        <w:t>4.94</w:t>
      </w:r>
      <w:r>
        <w:rPr>
          <w:rFonts w:hint="eastAsia" w:ascii="仿宋_GB2312" w:eastAsia="仿宋_GB2312"/>
          <w:sz w:val="32"/>
          <w:szCs w:val="32"/>
        </w:rPr>
        <w:t>万元。</w:t>
      </w:r>
    </w:p>
    <w:p>
      <w:pPr>
        <w:spacing w:line="46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四、“三公”经费说明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2017年三公经费预算安排为0万元，与上年保持不变。其中：因公出国（境）费预算安排 0 万元，与上年保持不变。公务用车购置及运行维护费预算安排 0万元，与上年保持不变。公务接待费预算安排 0万元，与上年保持不变。</w:t>
      </w:r>
    </w:p>
    <w:p>
      <w:pPr>
        <w:spacing w:line="360" w:lineRule="auto"/>
        <w:ind w:firstLine="321" w:firstLineChars="1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五、其他需要说明的情况</w:t>
      </w:r>
    </w:p>
    <w:p>
      <w:pPr>
        <w:spacing w:line="460" w:lineRule="exact"/>
        <w:ind w:firstLine="643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（一）关于“机关运行经费”支出的说明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本部门属事业单位无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“机关运行经费”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。</w:t>
      </w:r>
    </w:p>
    <w:p>
      <w:pPr>
        <w:spacing w:line="46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（二）关于政府采购支出说明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>
      <w:pPr>
        <w:spacing w:line="4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政府采购安排为零。</w:t>
      </w:r>
    </w:p>
    <w:p>
      <w:pPr>
        <w:spacing w:line="580" w:lineRule="exact"/>
        <w:ind w:firstLine="896" w:firstLineChars="27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(三)国有资产占有使用情况</w:t>
      </w:r>
      <w:r>
        <w:rPr>
          <w:rFonts w:hint="eastAsia" w:ascii="仿宋_GB2312" w:hAnsi="仿宋_GB2312" w:eastAsia="仿宋_GB2312" w:cs="仿宋_GB2312"/>
          <w:sz w:val="32"/>
          <w:szCs w:val="32"/>
        </w:rPr>
        <w:t>：截止2016年12月31日，本部门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国有资产总额为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178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万元。本部门共有车辆0辆。</w:t>
      </w:r>
    </w:p>
    <w:p>
      <w:pPr>
        <w:spacing w:line="40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（四）重点项目预算绩效目标设置情况</w:t>
      </w:r>
      <w:r>
        <w:rPr>
          <w:rFonts w:hint="eastAsia" w:ascii="仿宋_GB2312" w:hAnsi="仿宋_GB2312" w:eastAsia="仿宋_GB2312" w:cs="仿宋_GB2312"/>
          <w:sz w:val="32"/>
          <w:szCs w:val="32"/>
        </w:rPr>
        <w:t>：无</w:t>
      </w:r>
    </w:p>
    <w:p>
      <w:pPr>
        <w:spacing w:line="220" w:lineRule="atLeas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（五）专业性较强的名词解释</w:t>
      </w:r>
      <w:r>
        <w:rPr>
          <w:rFonts w:hint="eastAsia" w:ascii="仿宋_GB2312" w:hAnsi="仿宋_GB2312" w:eastAsia="仿宋_GB2312" w:cs="仿宋_GB2312"/>
          <w:sz w:val="32"/>
          <w:szCs w:val="32"/>
        </w:rPr>
        <w:t>：无。</w:t>
      </w:r>
    </w:p>
    <w:p>
      <w:pPr>
        <w:spacing w:line="288" w:lineRule="auto"/>
        <w:ind w:firstLine="640" w:firstLineChars="200"/>
        <w:rPr>
          <w:rFonts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22DDD8"/>
    <w:multiLevelType w:val="singleLevel"/>
    <w:tmpl w:val="5722DDD8"/>
    <w:lvl w:ilvl="0" w:tentative="0">
      <w:start w:val="1"/>
      <w:numFmt w:val="chineseCounting"/>
      <w:suff w:val="nothing"/>
      <w:lvlText w:val="%1、"/>
      <w:lvlJc w:val="left"/>
      <w:rPr>
        <w:rFonts w:cs="Times New Roman"/>
      </w:rPr>
    </w:lvl>
  </w:abstractNum>
  <w:abstractNum w:abstractNumId="1">
    <w:nsid w:val="5AB0DB23"/>
    <w:multiLevelType w:val="singleLevel"/>
    <w:tmpl w:val="5AB0DB23"/>
    <w:lvl w:ilvl="0" w:tentative="0">
      <w:start w:val="1"/>
      <w:numFmt w:val="chineseCounting"/>
      <w:suff w:val="nothing"/>
      <w:lvlText w:val="%1、"/>
      <w:lvlJc w:val="left"/>
      <w:rPr>
        <w:rFonts w:cs="Times New Roman"/>
      </w:rPr>
    </w:lvl>
  </w:abstractNum>
  <w:abstractNum w:abstractNumId="2">
    <w:nsid w:val="5AB0DC21"/>
    <w:multiLevelType w:val="singleLevel"/>
    <w:tmpl w:val="5AB0DC21"/>
    <w:lvl w:ilvl="0" w:tentative="0">
      <w:start w:val="3"/>
      <w:numFmt w:val="chineseCounting"/>
      <w:suff w:val="nothing"/>
      <w:lvlText w:val="（%1）"/>
      <w:lvlJc w:val="left"/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54194BFC"/>
    <w:rsid w:val="000B6658"/>
    <w:rsid w:val="000E6C3F"/>
    <w:rsid w:val="00165C0F"/>
    <w:rsid w:val="00432120"/>
    <w:rsid w:val="00561A90"/>
    <w:rsid w:val="005D78A8"/>
    <w:rsid w:val="006F2534"/>
    <w:rsid w:val="00763316"/>
    <w:rsid w:val="0096461F"/>
    <w:rsid w:val="009A23D8"/>
    <w:rsid w:val="009B4BA7"/>
    <w:rsid w:val="00A40219"/>
    <w:rsid w:val="00C07BB8"/>
    <w:rsid w:val="00CF7828"/>
    <w:rsid w:val="00EC62E2"/>
    <w:rsid w:val="00F41D79"/>
    <w:rsid w:val="00F67AD5"/>
    <w:rsid w:val="19E3499A"/>
    <w:rsid w:val="1A7364F8"/>
    <w:rsid w:val="23925943"/>
    <w:rsid w:val="247B3790"/>
    <w:rsid w:val="29E751D6"/>
    <w:rsid w:val="2C196AB5"/>
    <w:rsid w:val="2FBD460C"/>
    <w:rsid w:val="3CC07305"/>
    <w:rsid w:val="4DB56AE6"/>
    <w:rsid w:val="4DF260DF"/>
    <w:rsid w:val="54194BFC"/>
    <w:rsid w:val="68D14110"/>
    <w:rsid w:val="70A24B1D"/>
    <w:rsid w:val="7A8B0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99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Strong"/>
    <w:basedOn w:val="4"/>
    <w:qFormat/>
    <w:locked/>
    <w:uiPriority w:val="0"/>
    <w:rPr>
      <w:rFonts w:cs="Times New Roman"/>
      <w:b/>
    </w:rPr>
  </w:style>
  <w:style w:type="character" w:customStyle="1" w:styleId="7">
    <w:name w:val="Footer Char"/>
    <w:basedOn w:val="4"/>
    <w:link w:val="2"/>
    <w:qFormat/>
    <w:locked/>
    <w:uiPriority w:val="99"/>
    <w:rPr>
      <w:rFonts w:eastAsia="宋体" w:cs="Times New Roman"/>
      <w:kern w:val="2"/>
      <w:sz w:val="18"/>
      <w:szCs w:val="18"/>
    </w:rPr>
  </w:style>
  <w:style w:type="character" w:customStyle="1" w:styleId="8">
    <w:name w:val="Header Char"/>
    <w:basedOn w:val="4"/>
    <w:link w:val="3"/>
    <w:qFormat/>
    <w:locked/>
    <w:uiPriority w:val="99"/>
    <w:rPr>
      <w:rFonts w:eastAsia="宋体" w:cs="Times New Roman"/>
      <w:kern w:val="2"/>
      <w:sz w:val="18"/>
      <w:szCs w:val="18"/>
    </w:rPr>
  </w:style>
  <w:style w:type="paragraph" w:customStyle="1" w:styleId="9">
    <w:name w:val="列出段落1"/>
    <w:basedOn w:val="1"/>
    <w:qFormat/>
    <w:uiPriority w:val="99"/>
    <w:pPr>
      <w:ind w:firstLine="420" w:firstLineChars="200"/>
    </w:pPr>
  </w:style>
  <w:style w:type="paragraph" w:customStyle="1" w:styleId="10">
    <w:name w:val="p0"/>
    <w:basedOn w:val="1"/>
    <w:qFormat/>
    <w:uiPriority w:val="0"/>
    <w:pPr>
      <w:widowControl/>
      <w:ind w:firstLine="420"/>
      <w:jc w:val="left"/>
    </w:pPr>
    <w:rPr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1</Pages>
  <Words>57</Words>
  <Characters>327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2016-10-13T13:21:00Z</dcterms:created>
  <dc:creator>Administrator</dc:creator>
  <cp:lastModifiedBy>Administrator</cp:lastModifiedBy>
  <dcterms:modified xsi:type="dcterms:W3CDTF">2018-04-05T09:45:07Z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