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  <w:r>
        <w:rPr>
          <w:rFonts w:cs="方正小标宋简体" w:asciiTheme="minorEastAsia" w:hAnsiTheme="minorEastAsia" w:eastAsiaTheme="minorEastAsia"/>
          <w:sz w:val="84"/>
          <w:szCs w:val="84"/>
        </w:rPr>
        <w:t>2016</w:t>
      </w:r>
      <w:r>
        <w:rPr>
          <w:rFonts w:hint="eastAsia" w:cs="方正小标宋简体" w:asciiTheme="minorEastAsia" w:hAnsiTheme="minorEastAsia" w:eastAsiaTheme="minorEastAsia"/>
          <w:sz w:val="84"/>
          <w:szCs w:val="84"/>
        </w:rPr>
        <w:t>年</w:t>
      </w: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  <w:r>
        <w:rPr>
          <w:rFonts w:hint="eastAsia" w:cs="方正小标宋简体" w:asciiTheme="minorEastAsia" w:hAnsiTheme="minorEastAsia" w:eastAsiaTheme="minorEastAsia"/>
          <w:sz w:val="84"/>
          <w:szCs w:val="84"/>
        </w:rPr>
        <w:t>霞山区政法委员会</w:t>
      </w:r>
      <w:r>
        <w:rPr>
          <w:rFonts w:cs="方正小标宋简体" w:asciiTheme="minorEastAsia" w:hAnsiTheme="minorEastAsia" w:eastAsiaTheme="minorEastAsia"/>
          <w:sz w:val="84"/>
          <w:szCs w:val="84"/>
        </w:rPr>
        <w:t xml:space="preserve">  </w:t>
      </w:r>
    </w:p>
    <w:p>
      <w:pPr>
        <w:jc w:val="center"/>
        <w:rPr>
          <w:rFonts w:hint="eastAsia" w:cs="方正小标宋简体" w:asciiTheme="minorEastAsia" w:hAnsiTheme="minorEastAsia" w:eastAsiaTheme="minorEastAsia"/>
          <w:sz w:val="84"/>
          <w:szCs w:val="84"/>
        </w:rPr>
      </w:pPr>
      <w:r>
        <w:rPr>
          <w:rFonts w:hint="eastAsia" w:cs="方正小标宋简体" w:asciiTheme="minorEastAsia" w:hAnsiTheme="minorEastAsia" w:eastAsiaTheme="minorEastAsia"/>
          <w:sz w:val="84"/>
          <w:szCs w:val="84"/>
        </w:rPr>
        <w:t>部门预算</w:t>
      </w:r>
    </w:p>
    <w:p>
      <w:pPr>
        <w:jc w:val="center"/>
        <w:rPr>
          <w:rFonts w:hint="eastAsia"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hint="eastAsia"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hint="eastAsia"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hint="eastAsia"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hint="eastAsia"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44"/>
          <w:szCs w:val="44"/>
        </w:rPr>
      </w:pPr>
    </w:p>
    <w:p>
      <w:pPr>
        <w:jc w:val="center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方正小标宋简体" w:asciiTheme="minorEastAsia" w:hAnsiTheme="minorEastAsia" w:eastAsiaTheme="minorEastAsia"/>
          <w:sz w:val="44"/>
          <w:szCs w:val="44"/>
        </w:rPr>
        <w:t>目</w:t>
      </w:r>
      <w:r>
        <w:rPr>
          <w:rFonts w:cs="方正小标宋简体" w:asciiTheme="minorEastAsia" w:hAnsiTheme="minorEastAsia" w:eastAsiaTheme="minorEastAsia"/>
          <w:sz w:val="44"/>
          <w:szCs w:val="44"/>
        </w:rPr>
        <w:t xml:space="preserve"> </w:t>
      </w:r>
      <w:r>
        <w:rPr>
          <w:rFonts w:hint="eastAsia" w:cs="方正小标宋简体" w:asciiTheme="minorEastAsia" w:hAnsiTheme="minorEastAsia" w:eastAsiaTheme="minorEastAsia"/>
          <w:sz w:val="44"/>
          <w:szCs w:val="44"/>
        </w:rPr>
        <w:t>录</w:t>
      </w:r>
    </w:p>
    <w:p>
      <w:pPr>
        <w:rPr>
          <w:rFonts w:cs="黑体" w:asciiTheme="minorEastAsia" w:hAnsiTheme="minorEastAsia" w:eastAsiaTheme="minorEastAsia"/>
          <w:sz w:val="32"/>
          <w:szCs w:val="32"/>
        </w:rPr>
      </w:pPr>
      <w:r>
        <w:rPr>
          <w:rFonts w:hint="eastAsia" w:cs="黑体" w:asciiTheme="minorEastAsia" w:hAnsiTheme="minorEastAsia" w:eastAsiaTheme="minorEastAsia"/>
          <w:sz w:val="32"/>
          <w:szCs w:val="32"/>
        </w:rPr>
        <w:t>第一部分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  2016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年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政法委员会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部门预算基本情况说明</w:t>
      </w:r>
    </w:p>
    <w:p>
      <w:pPr>
        <w:numPr>
          <w:ilvl w:val="0"/>
          <w:numId w:val="1"/>
        </w:numPr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部门基本情况</w:t>
      </w:r>
    </w:p>
    <w:p>
      <w:pPr>
        <w:spacing w:line="5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（一）主要职责</w:t>
      </w:r>
    </w:p>
    <w:p>
      <w:pPr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（二）机构设置</w:t>
      </w:r>
    </w:p>
    <w:p>
      <w:pPr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二、收入预算说明</w:t>
      </w:r>
    </w:p>
    <w:p>
      <w:pPr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三、支出预算说明</w:t>
      </w:r>
    </w:p>
    <w:p>
      <w:pPr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四、</w:t>
      </w:r>
      <w:r>
        <w:rPr>
          <w:rFonts w:cs="仿宋_GB2312" w:asciiTheme="minorEastAsia" w:hAnsiTheme="minorEastAsia" w:eastAsiaTheme="minorEastAsia"/>
          <w:sz w:val="32"/>
          <w:szCs w:val="32"/>
        </w:rPr>
        <w:t>"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三公</w:t>
      </w:r>
      <w:r>
        <w:rPr>
          <w:rFonts w:cs="仿宋_GB2312" w:asciiTheme="minorEastAsia" w:hAnsiTheme="minorEastAsia" w:eastAsiaTheme="minorEastAsia"/>
          <w:sz w:val="32"/>
          <w:szCs w:val="32"/>
        </w:rPr>
        <w:t>"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经费说明</w:t>
      </w:r>
    </w:p>
    <w:p>
      <w:pPr>
        <w:ind w:left="560" w:left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五、其他需要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说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明的情况</w:t>
      </w:r>
    </w:p>
    <w:p>
      <w:pPr>
        <w:ind w:left="560" w:left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（一）机关运行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经费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情况</w:t>
      </w:r>
    </w:p>
    <w:p>
      <w:pPr>
        <w:ind w:left="560" w:left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（二）政府采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购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安排情况</w:t>
      </w:r>
    </w:p>
    <w:p>
      <w:pPr>
        <w:ind w:left="560" w:left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（三）国有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资产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占有使用情况</w:t>
      </w:r>
    </w:p>
    <w:p>
      <w:pPr>
        <w:ind w:left="560" w:left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（四）重点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项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目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预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算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绩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效目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标设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置情况</w:t>
      </w:r>
    </w:p>
    <w:p>
      <w:pPr>
        <w:ind w:left="560" w:left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（五）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专业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名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词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解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释</w:t>
      </w:r>
    </w:p>
    <w:p>
      <w:pPr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</w:p>
    <w:p>
      <w:pPr>
        <w:rPr>
          <w:rFonts w:cs="黑体" w:asciiTheme="minorEastAsia" w:hAnsiTheme="minorEastAsia" w:eastAsiaTheme="minorEastAsia"/>
          <w:sz w:val="32"/>
          <w:szCs w:val="32"/>
        </w:rPr>
      </w:pPr>
      <w:r>
        <w:rPr>
          <w:rFonts w:hint="eastAsia" w:cs="黑体" w:asciiTheme="minorEastAsia" w:hAnsiTheme="minorEastAsia" w:eastAsiaTheme="minorEastAsia"/>
          <w:sz w:val="32"/>
          <w:szCs w:val="32"/>
        </w:rPr>
        <w:t>第二部分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   2016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年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政法委员会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部门预算表</w:t>
      </w:r>
    </w:p>
    <w:p>
      <w:pPr>
        <w:pStyle w:val="8"/>
        <w:spacing w:line="6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一、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年财政拨款收支总表</w:t>
      </w:r>
    </w:p>
    <w:p>
      <w:pPr>
        <w:pStyle w:val="8"/>
        <w:spacing w:line="6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二、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年一般公共预算支出表</w:t>
      </w:r>
    </w:p>
    <w:p>
      <w:pPr>
        <w:pStyle w:val="8"/>
        <w:spacing w:line="6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三、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年一般公共预算基本支出表（部门经济分类）</w:t>
      </w:r>
    </w:p>
    <w:p>
      <w:pPr>
        <w:pStyle w:val="8"/>
        <w:spacing w:line="6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四、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年一般公共预算“三公”经费支出表</w:t>
      </w:r>
    </w:p>
    <w:p>
      <w:pPr>
        <w:pStyle w:val="8"/>
        <w:spacing w:line="6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五、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年政府性基金预算支出表</w:t>
      </w:r>
    </w:p>
    <w:p>
      <w:pPr>
        <w:pStyle w:val="8"/>
        <w:spacing w:line="6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六、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年部门收支总表</w:t>
      </w:r>
    </w:p>
    <w:p>
      <w:pPr>
        <w:pStyle w:val="8"/>
        <w:spacing w:line="6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七、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年部门收入表</w:t>
      </w:r>
    </w:p>
    <w:p>
      <w:pPr>
        <w:widowControl/>
        <w:spacing w:line="360" w:lineRule="auto"/>
        <w:ind w:firstLine="640"/>
        <w:rPr>
          <w:rFonts w:hint="eastAsia"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八、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年部门支出表</w:t>
      </w:r>
    </w:p>
    <w:p>
      <w:pPr>
        <w:widowControl/>
        <w:spacing w:line="360" w:lineRule="auto"/>
        <w:ind w:firstLine="640"/>
        <w:rPr>
          <w:rFonts w:hint="eastAsia" w:cs="仿宋_GB2312" w:asciiTheme="minorEastAsia" w:hAnsiTheme="minorEastAsia" w:eastAsiaTheme="minorEastAsia"/>
          <w:sz w:val="32"/>
          <w:szCs w:val="32"/>
        </w:rPr>
      </w:pPr>
    </w:p>
    <w:p>
      <w:pPr>
        <w:widowControl/>
        <w:spacing w:line="360" w:lineRule="auto"/>
        <w:ind w:firstLine="640"/>
        <w:rPr>
          <w:rFonts w:hint="eastAsia" w:cs="仿宋_GB2312" w:asciiTheme="minorEastAsia" w:hAnsiTheme="minorEastAsia" w:eastAsiaTheme="minorEastAsia"/>
          <w:sz w:val="32"/>
          <w:szCs w:val="32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44"/>
          <w:szCs w:val="4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asciiTheme="minorEastAsia" w:hAnsiTheme="minorEastAsia" w:eastAsiaTheme="minorEastAsia"/>
          <w:b/>
          <w:sz w:val="44"/>
          <w:szCs w:val="44"/>
        </w:rPr>
        <w:t>2016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年霞山区政法委员会</w:t>
      </w:r>
      <w:r>
        <w:rPr>
          <w:rFonts w:hint="eastAsia" w:asciiTheme="minorEastAsia" w:hAnsiTheme="minorEastAsia" w:eastAsiaTheme="minorEastAsia"/>
          <w:b/>
          <w:sz w:val="44"/>
          <w:szCs w:val="44"/>
          <w:lang w:eastAsia="zh-CN"/>
        </w:rPr>
        <w:t>部门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预算</w:t>
      </w:r>
      <w:r>
        <w:rPr>
          <w:rFonts w:hint="eastAsia" w:asciiTheme="minorEastAsia" w:hAnsiTheme="minorEastAsia" w:eastAsiaTheme="minorEastAsia"/>
          <w:b/>
          <w:sz w:val="44"/>
          <w:szCs w:val="44"/>
          <w:lang w:eastAsia="zh-CN"/>
        </w:rPr>
        <w:t>基本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情况说明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88" w:lineRule="auto"/>
        <w:ind w:firstLine="640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一、部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门</w:t>
      </w:r>
      <w:r>
        <w:rPr>
          <w:rFonts w:hint="eastAsia" w:cs="MS Mincho" w:asciiTheme="minorEastAsia" w:hAnsiTheme="minorEastAsia" w:eastAsiaTheme="minorEastAsia"/>
          <w:b/>
          <w:sz w:val="32"/>
          <w:szCs w:val="32"/>
        </w:rPr>
        <w:t>基本情况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88" w:lineRule="auto"/>
        <w:ind w:firstLine="640"/>
        <w:rPr>
          <w:rFonts w:cs="宋体" w:asciiTheme="minorEastAsia" w:hAnsiTheme="minorEastAsia" w:eastAsiaTheme="minorEastAsia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主要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职责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88" w:lineRule="auto"/>
        <w:ind w:firstLine="640"/>
        <w:rPr>
          <w:rFonts w:cs="仿宋_GB2312" w:asciiTheme="minorEastAsia" w:hAnsiTheme="minorEastAsia" w:eastAsiaTheme="minorEastAsia"/>
          <w:sz w:val="32"/>
          <w:szCs w:val="30"/>
        </w:rPr>
      </w:pPr>
      <w:r>
        <w:rPr>
          <w:rFonts w:hint="eastAsia" w:cs="仿宋_GB2312" w:asciiTheme="minorEastAsia" w:hAnsiTheme="minorEastAsia" w:eastAsiaTheme="minorEastAsia"/>
          <w:sz w:val="32"/>
          <w:szCs w:val="30"/>
        </w:rPr>
        <w:t>其主要职责是：贯彻执行党的方针、路线以及区委的决策和部署，统一政法各部门的思想和行动；组织政法工作中有关法律及重大政策的调查研究，指导政法工作改革，对依法治区提出意见、建议；研究处理政法工作的重大问题并及时向区委提出建议，对一定时期的政法工作作出全局性部署，并检查落实；维护政法各部门依法独立行使职权，依法组织开展执法监督，指导、协调政法各部门的工作，组织研究、讨论、协调有争议的重大、疑难案件；组织调查、协助处理抗法的重大事件，确保政法各部门正常开展工作；</w:t>
      </w:r>
    </w:p>
    <w:p>
      <w:pPr>
        <w:spacing w:line="440" w:lineRule="exact"/>
        <w:ind w:firstLine="56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机构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设</w:t>
      </w:r>
      <w:r>
        <w:rPr>
          <w:rFonts w:hint="eastAsia" w:cs="MS Mincho" w:asciiTheme="minorEastAsia" w:hAnsiTheme="minorEastAsia" w:eastAsiaTheme="minorEastAsia"/>
          <w:b/>
          <w:sz w:val="32"/>
          <w:szCs w:val="32"/>
        </w:rPr>
        <w:t>置</w:t>
      </w:r>
    </w:p>
    <w:p>
      <w:pPr>
        <w:spacing w:line="440" w:lineRule="exact"/>
        <w:ind w:firstLine="560"/>
        <w:rPr>
          <w:rFonts w:cs="MS Mincho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本部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门</w:t>
      </w:r>
      <w:r>
        <w:rPr>
          <w:rFonts w:hint="eastAsia" w:cs="MS Mincho" w:asciiTheme="minorEastAsia" w:hAnsiTheme="minorEastAsia" w:eastAsiaTheme="minorEastAsia"/>
          <w:b/>
          <w:sz w:val="32"/>
          <w:szCs w:val="32"/>
        </w:rPr>
        <w:t>无下属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单</w:t>
      </w:r>
      <w:r>
        <w:rPr>
          <w:rFonts w:hint="eastAsia" w:cs="MS Mincho" w:asciiTheme="minorEastAsia" w:hAnsiTheme="minorEastAsia" w:eastAsiaTheme="minorEastAsia"/>
          <w:b/>
          <w:sz w:val="32"/>
          <w:szCs w:val="32"/>
        </w:rPr>
        <w:t>位，部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门预</w:t>
      </w:r>
      <w:r>
        <w:rPr>
          <w:rFonts w:hint="eastAsia" w:cs="MS Mincho" w:asciiTheme="minorEastAsia" w:hAnsiTheme="minorEastAsia" w:eastAsiaTheme="minorEastAsia"/>
          <w:b/>
          <w:sz w:val="32"/>
          <w:szCs w:val="32"/>
        </w:rPr>
        <w:t>算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为</w:t>
      </w:r>
      <w:r>
        <w:rPr>
          <w:rFonts w:hint="eastAsia" w:cs="MS Mincho" w:asciiTheme="minorEastAsia" w:hAnsiTheme="minorEastAsia" w:eastAsiaTheme="minorEastAsia"/>
          <w:b/>
          <w:sz w:val="32"/>
          <w:szCs w:val="32"/>
        </w:rPr>
        <w:t>本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级预</w:t>
      </w:r>
      <w:r>
        <w:rPr>
          <w:rFonts w:hint="eastAsia" w:cs="MS Mincho" w:asciiTheme="minorEastAsia" w:hAnsiTheme="minorEastAsia" w:eastAsiaTheme="minorEastAsia"/>
          <w:b/>
          <w:sz w:val="32"/>
          <w:szCs w:val="32"/>
        </w:rPr>
        <w:t>算。</w:t>
      </w:r>
    </w:p>
    <w:p>
      <w:pPr>
        <w:spacing w:line="440" w:lineRule="exact"/>
        <w:ind w:firstLine="56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政法委现有在职人员7人、离退休人员7人</w:t>
      </w:r>
      <w:r>
        <w:rPr>
          <w:rFonts w:hint="eastAsia" w:asciiTheme="minorEastAsia" w:hAnsiTheme="minorEastAsia" w:eastAsiaTheme="minorEastAsia"/>
          <w:szCs w:val="28"/>
        </w:rPr>
        <w:t>。</w:t>
      </w:r>
    </w:p>
    <w:p>
      <w:pPr>
        <w:spacing w:line="500" w:lineRule="exact"/>
        <w:ind w:firstLine="643"/>
        <w:outlineLvl w:val="0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二、收入预算说明</w:t>
      </w:r>
    </w:p>
    <w:p>
      <w:pPr>
        <w:spacing w:line="5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年收入预算</w:t>
      </w:r>
      <w:r>
        <w:rPr>
          <w:rFonts w:cs="仿宋_GB2312" w:asciiTheme="minorEastAsia" w:hAnsiTheme="minorEastAsia" w:eastAsiaTheme="minorEastAsia"/>
          <w:sz w:val="32"/>
          <w:szCs w:val="32"/>
        </w:rPr>
        <w:t>132.14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万元，同比增加</w:t>
      </w:r>
      <w:r>
        <w:rPr>
          <w:rFonts w:cs="仿宋_GB2312" w:asciiTheme="minorEastAsia" w:hAnsiTheme="minorEastAsia" w:eastAsiaTheme="minorEastAsia"/>
          <w:sz w:val="32"/>
          <w:szCs w:val="32"/>
        </w:rPr>
        <w:t>25.91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万元。增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长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24.3%。收入增加的原因的由于工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资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福利支出和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对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个人和家庭的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补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助增加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。其中：预算经费安排拨款</w:t>
      </w:r>
      <w:r>
        <w:rPr>
          <w:rFonts w:cs="仿宋_GB2312" w:asciiTheme="minorEastAsia" w:hAnsiTheme="minorEastAsia" w:eastAsiaTheme="minorEastAsia"/>
          <w:sz w:val="32"/>
          <w:szCs w:val="32"/>
        </w:rPr>
        <w:t>132.14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万元，其他非税收入安排拨款</w:t>
      </w:r>
      <w:r>
        <w:rPr>
          <w:rFonts w:cs="仿宋_GB2312" w:asciiTheme="minorEastAsia" w:hAnsiTheme="minorEastAsia" w:eastAsiaTheme="minorEastAsia"/>
          <w:sz w:val="32"/>
          <w:szCs w:val="32"/>
        </w:rPr>
        <w:t>0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</w:t>
      </w:r>
    </w:p>
    <w:p>
      <w:pPr>
        <w:spacing w:line="500" w:lineRule="exact"/>
        <w:ind w:firstLine="643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三、支出预算说明</w:t>
      </w:r>
    </w:p>
    <w:p>
      <w:pPr>
        <w:spacing w:line="5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年支出预算</w:t>
      </w:r>
      <w:r>
        <w:rPr>
          <w:rFonts w:cs="仿宋_GB2312" w:asciiTheme="minorEastAsia" w:hAnsiTheme="minorEastAsia" w:eastAsiaTheme="minorEastAsia"/>
          <w:sz w:val="32"/>
          <w:szCs w:val="32"/>
        </w:rPr>
        <w:t>132.14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万元，同比增加</w:t>
      </w:r>
      <w:r>
        <w:rPr>
          <w:rFonts w:cs="仿宋_GB2312" w:asciiTheme="minorEastAsia" w:hAnsiTheme="minorEastAsia" w:eastAsiaTheme="minorEastAsia"/>
          <w:sz w:val="32"/>
          <w:szCs w:val="32"/>
        </w:rPr>
        <w:t>25.91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万元。增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长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24.3%。支出增加的原因的由于工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资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福利支出和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对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个人和家庭的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补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助增加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。支出按经济分类划分：</w:t>
      </w:r>
      <w:r>
        <w:rPr>
          <w:rFonts w:cs="仿宋_GB2312" w:asciiTheme="minorEastAsia" w:hAnsiTheme="minorEastAsia" w:eastAsiaTheme="minorEastAsia"/>
          <w:sz w:val="32"/>
          <w:szCs w:val="32"/>
        </w:rPr>
        <w:t>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、基本支出预算</w:t>
      </w:r>
      <w:r>
        <w:rPr>
          <w:rFonts w:cs="仿宋_GB2312" w:asciiTheme="minorEastAsia" w:hAnsiTheme="minorEastAsia" w:eastAsiaTheme="minorEastAsia"/>
          <w:sz w:val="32"/>
          <w:szCs w:val="32"/>
        </w:rPr>
        <w:t>121.14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万元，其中工资福利支出</w:t>
      </w:r>
      <w:r>
        <w:rPr>
          <w:rFonts w:cs="仿宋_GB2312" w:asciiTheme="minorEastAsia" w:hAnsiTheme="minorEastAsia" w:eastAsiaTheme="minorEastAsia"/>
          <w:sz w:val="32"/>
          <w:szCs w:val="32"/>
        </w:rPr>
        <w:t>62.33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万元，对个人和家庭的补助支出</w:t>
      </w:r>
      <w:r>
        <w:rPr>
          <w:rFonts w:cs="仿宋_GB2312" w:asciiTheme="minorEastAsia" w:hAnsiTheme="minorEastAsia" w:eastAsiaTheme="minorEastAsia"/>
          <w:sz w:val="32"/>
          <w:szCs w:val="32"/>
        </w:rPr>
        <w:t>43.74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万元，一般商品和服务支出</w:t>
      </w:r>
      <w:r>
        <w:rPr>
          <w:rFonts w:cs="仿宋_GB2312" w:asciiTheme="minorEastAsia" w:hAnsiTheme="minorEastAsia" w:eastAsiaTheme="minorEastAsia"/>
          <w:sz w:val="32"/>
          <w:szCs w:val="32"/>
        </w:rPr>
        <w:t>15.07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</w:t>
      </w:r>
      <w:r>
        <w:rPr>
          <w:rFonts w:cs="仿宋_GB2312" w:asciiTheme="minorEastAsia" w:hAnsiTheme="minorEastAsia" w:eastAsiaTheme="minorEastAsia"/>
          <w:sz w:val="32"/>
          <w:szCs w:val="32"/>
        </w:rPr>
        <w:t>2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、项目支出预算</w:t>
      </w:r>
      <w:r>
        <w:rPr>
          <w:rFonts w:cs="仿宋_GB2312" w:asciiTheme="minorEastAsia" w:hAnsiTheme="minorEastAsia" w:eastAsiaTheme="minorEastAsia"/>
          <w:sz w:val="32"/>
          <w:szCs w:val="32"/>
        </w:rPr>
        <w:t>11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</w:t>
      </w:r>
    </w:p>
    <w:p>
      <w:pPr>
        <w:spacing w:line="500" w:lineRule="exact"/>
        <w:ind w:firstLine="643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四、“三公经费”说明</w:t>
      </w:r>
    </w:p>
    <w:p>
      <w:pPr>
        <w:spacing w:line="5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sz w:val="32"/>
          <w:szCs w:val="32"/>
        </w:rPr>
        <w:t>2016</w:t>
      </w:r>
      <w:r>
        <w:rPr>
          <w:rFonts w:hint="eastAsia" w:asciiTheme="minorEastAsia" w:hAnsiTheme="minorEastAsia" w:eastAsiaTheme="minorEastAsia"/>
          <w:sz w:val="32"/>
          <w:szCs w:val="32"/>
        </w:rPr>
        <w:t>年“三公经费”预算安排共8万元，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与上年保持一致，其中</w:t>
      </w:r>
      <w:r>
        <w:rPr>
          <w:rFonts w:hint="eastAsia" w:ascii="仿宋_GB2312" w:hAnsi="Calibri" w:eastAsia="仿宋_GB2312"/>
          <w:sz w:val="32"/>
          <w:szCs w:val="32"/>
        </w:rPr>
        <w:t>：因公出国（境）费预算安排0万元，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 xml:space="preserve">。公务用车购置及运行维护费预算安排 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>。公务接待费预算安排0万元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，与上年保持一致</w:t>
      </w:r>
      <w:r>
        <w:rPr>
          <w:rFonts w:hint="eastAsia" w:ascii="仿宋_GB2312" w:hAnsi="Calibri" w:eastAsia="仿宋_GB2312"/>
          <w:sz w:val="32"/>
          <w:szCs w:val="32"/>
        </w:rPr>
        <w:t>。</w:t>
      </w:r>
    </w:p>
    <w:p>
      <w:pPr>
        <w:spacing w:line="500" w:lineRule="exact"/>
        <w:ind w:firstLine="64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年“机关运行经费”支出</w:t>
      </w:r>
      <w:r>
        <w:rPr>
          <w:rFonts w:cs="仿宋_GB2312" w:asciiTheme="minorEastAsia" w:hAnsiTheme="minorEastAsia" w:eastAsiaTheme="minorEastAsia"/>
          <w:sz w:val="32"/>
          <w:szCs w:val="32"/>
        </w:rPr>
        <w:t>15.07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万元，同比增加9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.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52万元，支出增加的主要原因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是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其他交通费用的增加。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62万元,公务用车运行维护费8万元,办公费2.45万元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3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cs="仿宋_GB2312" w:asciiTheme="minorEastAsia" w:hAnsiTheme="minorEastAsia" w:eastAsiaTheme="minorEastAsia"/>
          <w:b/>
          <w:bCs/>
          <w:sz w:val="32"/>
          <w:szCs w:val="32"/>
        </w:rPr>
        <w:t>国有资产占有使用情况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：截至</w:t>
      </w:r>
      <w:r>
        <w:rPr>
          <w:rFonts w:cs="仿宋_GB2312" w:asciiTheme="minorEastAsia" w:hAnsiTheme="minorEastAsia" w:eastAsiaTheme="minorEastAsia"/>
          <w:sz w:val="32"/>
          <w:szCs w:val="32"/>
        </w:rPr>
        <w:t>2015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</w:t>
      </w:r>
      <w:r>
        <w:rPr>
          <w:rFonts w:cs="仿宋_GB2312" w:asciiTheme="minorEastAsia" w:hAnsiTheme="minorEastAsia" w:eastAsiaTheme="minorEastAsia"/>
          <w:sz w:val="32"/>
          <w:szCs w:val="32"/>
        </w:rPr>
        <w:t>12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月</w:t>
      </w:r>
      <w:r>
        <w:rPr>
          <w:rFonts w:cs="仿宋_GB2312" w:asciiTheme="minorEastAsia" w:hAnsiTheme="minorEastAsia" w:eastAsiaTheme="minorEastAsia"/>
          <w:sz w:val="32"/>
          <w:szCs w:val="32"/>
        </w:rPr>
        <w:t>31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日，本部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门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国有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资产总额为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135万元。本部门共有车辆3辆，全部均为一般公务用车，由于公务用车改革，使用管理权均为区机关事务局所有；单位价值20万元以上大型设备</w:t>
      </w:r>
      <w:r>
        <w:rPr>
          <w:rFonts w:cs="仿宋_GB2312" w:asciiTheme="minorEastAsia" w:hAnsiTheme="minorEastAsia" w:eastAsiaTheme="minorEastAsia"/>
          <w:sz w:val="32"/>
          <w:szCs w:val="32"/>
        </w:rPr>
        <w:t>0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台（套）。</w:t>
      </w:r>
    </w:p>
    <w:p>
      <w:pPr>
        <w:spacing w:line="500" w:lineRule="exact"/>
        <w:ind w:firstLine="643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cs="仿宋_GB2312" w:asciiTheme="minorEastAsia" w:hAnsiTheme="minorEastAsia" w:eastAsiaTheme="minorEastAsia"/>
          <w:b/>
          <w:bCs/>
          <w:sz w:val="32"/>
          <w:szCs w:val="32"/>
        </w:rPr>
        <w:t>重点项目预算绩效目标设置情况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：无</w:t>
      </w:r>
    </w:p>
    <w:p>
      <w:pPr>
        <w:widowControl/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 w:color="000000" w:fill="FFFFFF"/>
        <w:spacing w:line="500" w:lineRule="atLeast"/>
        <w:ind w:firstLine="63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cs="仿宋_GB2312" w:asciiTheme="minorEastAsia" w:hAnsiTheme="minorEastAsia" w:eastAsiaTheme="minorEastAsia"/>
          <w:b/>
          <w:bCs/>
          <w:sz w:val="32"/>
          <w:szCs w:val="32"/>
          <w:shd w:val="clear" w:color="auto" w:fill="FFFFFF"/>
        </w:rPr>
        <w:t>专业性较强的名词解释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：</w:t>
      </w:r>
      <w:r>
        <w:rPr>
          <w:rFonts w:hint="eastAsia" w:cs="仿宋_GB2312" w:asciiTheme="minorEastAsia" w:hAnsiTheme="minorEastAsia" w:eastAsiaTheme="minorEastAsia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cs="仿宋_GB2312" w:asciiTheme="minorEastAsia" w:hAnsiTheme="minorEastAsia" w:eastAsiaTheme="minorEastAsia"/>
          <w:sz w:val="32"/>
          <w:szCs w:val="32"/>
        </w:rPr>
      </w:pPr>
    </w:p>
    <w:sectPr>
      <w:headerReference r:id="rId3" w:type="default"/>
      <w:endnotePr>
        <w:numFmt w:val="decimal"/>
      </w:endnotePr>
      <w:pgSz w:w="11906" w:h="16838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000000" w:sz="0" w:space="3"/>
        <w:left w:val="none" w:color="000000" w:sz="0" w:space="3"/>
        <w:bottom w:val="none" w:color="000000" w:sz="0" w:space="0"/>
        <w:right w:val="none" w:color="000000" w:sz="0" w:space="3"/>
        <w:between w:val="none" w:color="000000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B6DAF"/>
    <w:multiLevelType w:val="singleLevel"/>
    <w:tmpl w:val="464B6DAF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characterSpacingControl w:val="doNotCompress"/>
  <w:endnotePr>
    <w:numFmt w:val="decimal"/>
  </w:endnotePr>
  <w:compat>
    <w:doNotExpandShiftReturn/>
    <w:useFELayout/>
    <w:compatSetting w:name="compatibilityMode" w:uri="http://schemas.microsoft.com/office/word" w:val="12"/>
  </w:compat>
  <w:rsids>
    <w:rsidRoot w:val="00A16C98"/>
    <w:rsid w:val="000F462A"/>
    <w:rsid w:val="00292E4C"/>
    <w:rsid w:val="00320E91"/>
    <w:rsid w:val="006C3F8B"/>
    <w:rsid w:val="007464A1"/>
    <w:rsid w:val="007C4F1D"/>
    <w:rsid w:val="00890D90"/>
    <w:rsid w:val="00926D59"/>
    <w:rsid w:val="00A16C98"/>
    <w:rsid w:val="00B4767D"/>
    <w:rsid w:val="00C46592"/>
    <w:rsid w:val="05A67A6F"/>
    <w:rsid w:val="16AB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1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Footer"/>
    <w:qFormat/>
    <w:uiPriority w:val="0"/>
    <w:pPr>
      <w:widowControl w:val="0"/>
      <w:tabs>
        <w:tab w:val="center" w:pos="4153"/>
        <w:tab w:val="right" w:pos="8306"/>
      </w:tabs>
      <w:jc w:val="left"/>
    </w:pPr>
    <w:rPr>
      <w:rFonts w:ascii="Times New Roman" w:hAnsi="Times New Roman" w:eastAsia="宋体" w:cs="Times New Roman"/>
      <w:kern w:val="1"/>
      <w:sz w:val="18"/>
      <w:szCs w:val="18"/>
      <w:lang w:val="en-US" w:eastAsia="zh-CN" w:bidi="ar-SA"/>
    </w:rPr>
  </w:style>
  <w:style w:type="paragraph" w:customStyle="1" w:styleId="7">
    <w:name w:val="Header"/>
    <w:qFormat/>
    <w:uiPriority w:val="0"/>
    <w:pPr>
      <w:widowControl w:val="0"/>
      <w:pBdr>
        <w:top w:val="none" w:color="000000" w:sz="0" w:space="3"/>
        <w:left w:val="none" w:color="000000" w:sz="0" w:space="3"/>
        <w:bottom w:val="single" w:color="000000" w:sz="6" w:space="1"/>
        <w:right w:val="none" w:color="000000" w:sz="0" w:space="3"/>
        <w:between w:val="none" w:color="000000" w:sz="0" w:space="0"/>
      </w:pBdr>
      <w:tabs>
        <w:tab w:val="center" w:pos="4153"/>
        <w:tab w:val="right" w:pos="8306"/>
      </w:tabs>
      <w:jc w:val="center"/>
    </w:pPr>
    <w:rPr>
      <w:rFonts w:ascii="Times New Roman" w:hAnsi="Times New Roman" w:eastAsia="宋体" w:cs="Times New Roman"/>
      <w:kern w:val="1"/>
      <w:sz w:val="18"/>
      <w:szCs w:val="18"/>
      <w:lang w:val="en-US" w:eastAsia="zh-CN" w:bidi="ar-SA"/>
    </w:rPr>
  </w:style>
  <w:style w:type="paragraph" w:customStyle="1" w:styleId="8">
    <w:name w:val="p0"/>
    <w:qFormat/>
    <w:uiPriority w:val="0"/>
    <w:pPr>
      <w:widowControl/>
      <w:ind w:firstLine="420"/>
      <w:jc w:val="left"/>
    </w:pPr>
    <w:rPr>
      <w:rFonts w:ascii="Times New Roman" w:hAnsi="Times New Roman" w:eastAsia="宋体" w:cs="Times New Roman"/>
      <w:kern w:val="1"/>
      <w:sz w:val="20"/>
      <w:szCs w:val="20"/>
      <w:lang w:val="en-US" w:eastAsia="zh-CN" w:bidi="ar-SA"/>
    </w:rPr>
  </w:style>
  <w:style w:type="paragraph" w:customStyle="1" w:styleId="9">
    <w:name w:val="常£规æ"/>
    <w:qFormat/>
    <w:uiPriority w:val="0"/>
    <w:pPr>
      <w:widowControl w:val="0"/>
      <w:jc w:val="left"/>
    </w:pPr>
    <w:rPr>
      <w:rFonts w:ascii="Arial" w:hAnsi="Arial" w:eastAsia="Arial" w:cs="Arial"/>
      <w:kern w:val="0"/>
      <w:sz w:val="20"/>
      <w:szCs w:val="20"/>
      <w:lang w:val="en-US" w:eastAsia="zh-CN" w:bidi="ar-SA"/>
    </w:rPr>
  </w:style>
  <w:style w:type="character" w:customStyle="1" w:styleId="10">
    <w:name w:val="页脚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Page Number"/>
    <w:qFormat/>
    <w:uiPriority w:val="0"/>
    <w:rPr>
      <w:rFonts w:cs="Times New Roman"/>
    </w:rPr>
  </w:style>
  <w:style w:type="character" w:customStyle="1" w:styleId="13">
    <w:name w:val="页眉 Char1"/>
    <w:basedOn w:val="4"/>
    <w:link w:val="3"/>
    <w:semiHidden/>
    <w:qFormat/>
    <w:uiPriority w:val="99"/>
    <w:rPr>
      <w:sz w:val="18"/>
      <w:szCs w:val="18"/>
    </w:rPr>
  </w:style>
  <w:style w:type="character" w:customStyle="1" w:styleId="14">
    <w:name w:val="页脚 Char1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DEB015-0752-4063-A16A-6CE34D23B2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211</Words>
  <Characters>1207</Characters>
  <Lines>10</Lines>
  <Paragraphs>2</Paragraphs>
  <TotalTime>0</TotalTime>
  <ScaleCrop>false</ScaleCrop>
  <LinksUpToDate>false</LinksUpToDate>
  <CharactersWithSpaces>1416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2018-04-11T08:44:50Z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