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方正小标宋简体"/>
          <w:sz w:val="84"/>
          <w:szCs w:val="84"/>
        </w:rPr>
      </w:pPr>
    </w:p>
    <w:p>
      <w:pPr>
        <w:jc w:val="center"/>
        <w:rPr>
          <w:rFonts w:ascii="黑体" w:hAnsi="黑体" w:eastAsia="黑体" w:cs="方正小标宋简体"/>
          <w:sz w:val="84"/>
          <w:szCs w:val="84"/>
        </w:rPr>
      </w:pPr>
    </w:p>
    <w:p>
      <w:pPr>
        <w:jc w:val="center"/>
        <w:rPr>
          <w:rFonts w:ascii="黑体" w:hAnsi="黑体" w:eastAsia="黑体" w:cs="方正小标宋简体"/>
          <w:sz w:val="84"/>
          <w:szCs w:val="84"/>
        </w:rPr>
      </w:pPr>
    </w:p>
    <w:p>
      <w:pPr>
        <w:jc w:val="center"/>
        <w:rPr>
          <w:rFonts w:ascii="黑体" w:hAnsi="黑体" w:eastAsia="黑体" w:cs="方正小标宋简体"/>
          <w:sz w:val="84"/>
          <w:szCs w:val="84"/>
        </w:rPr>
      </w:pPr>
    </w:p>
    <w:p>
      <w:pPr>
        <w:jc w:val="center"/>
        <w:rPr>
          <w:rFonts w:ascii="黑体" w:hAnsi="黑体" w:eastAsia="黑体" w:cs="方正小标宋简体"/>
          <w:sz w:val="84"/>
          <w:szCs w:val="84"/>
        </w:rPr>
      </w:pPr>
      <w:r>
        <w:rPr>
          <w:rFonts w:ascii="黑体" w:hAnsi="黑体" w:eastAsia="黑体" w:cs="方正小标宋简体"/>
          <w:sz w:val="84"/>
          <w:szCs w:val="84"/>
        </w:rPr>
        <w:t>2016</w:t>
      </w:r>
      <w:r>
        <w:rPr>
          <w:rFonts w:hint="eastAsia" w:ascii="黑体" w:hAnsi="黑体" w:eastAsia="黑体" w:cs="方正小标宋简体"/>
          <w:sz w:val="84"/>
          <w:szCs w:val="84"/>
        </w:rPr>
        <w:t>年</w:t>
      </w:r>
    </w:p>
    <w:p>
      <w:pPr>
        <w:jc w:val="center"/>
        <w:rPr>
          <w:rFonts w:ascii="黑体" w:hAnsi="黑体" w:eastAsia="黑体" w:cs="方正小标宋简体"/>
          <w:sz w:val="84"/>
          <w:szCs w:val="84"/>
        </w:rPr>
      </w:pPr>
      <w:r>
        <w:rPr>
          <w:rFonts w:hint="eastAsia" w:ascii="黑体" w:hAnsi="黑体" w:eastAsia="黑体" w:cs="方正小标宋简体"/>
          <w:sz w:val="84"/>
          <w:szCs w:val="84"/>
        </w:rPr>
        <w:t>霞山区维稳办</w:t>
      </w:r>
      <w:r>
        <w:rPr>
          <w:rFonts w:ascii="黑体" w:hAnsi="黑体" w:eastAsia="黑体" w:cs="方正小标宋简体"/>
          <w:sz w:val="84"/>
          <w:szCs w:val="84"/>
        </w:rPr>
        <w:t xml:space="preserve">  </w:t>
      </w:r>
    </w:p>
    <w:p>
      <w:pPr>
        <w:jc w:val="center"/>
        <w:rPr>
          <w:rFonts w:ascii="黑体" w:hAnsi="黑体" w:eastAsia="黑体" w:cs="方正小标宋简体"/>
          <w:sz w:val="84"/>
          <w:szCs w:val="84"/>
        </w:rPr>
      </w:pPr>
      <w:r>
        <w:rPr>
          <w:rFonts w:hint="eastAsia" w:ascii="黑体" w:hAnsi="黑体" w:eastAsia="黑体" w:cs="方正小标宋简体"/>
          <w:sz w:val="84"/>
          <w:szCs w:val="84"/>
        </w:rPr>
        <w:t>部门预算</w:t>
      </w:r>
    </w:p>
    <w:p>
      <w:pPr>
        <w:spacing w:line="360" w:lineRule="auto"/>
        <w:jc w:val="center"/>
        <w:rPr>
          <w:rFonts w:ascii="黑体" w:hAnsi="黑体" w:eastAsia="黑体"/>
          <w:b/>
          <w:sz w:val="44"/>
          <w:szCs w:val="44"/>
        </w:rPr>
      </w:pPr>
    </w:p>
    <w:p>
      <w:pPr>
        <w:spacing w:line="360" w:lineRule="auto"/>
        <w:jc w:val="center"/>
        <w:rPr>
          <w:rFonts w:ascii="黑体" w:hAnsi="黑体" w:eastAsia="黑体"/>
          <w:b/>
          <w:sz w:val="44"/>
          <w:szCs w:val="44"/>
        </w:rPr>
      </w:pPr>
    </w:p>
    <w:p>
      <w:pPr>
        <w:spacing w:line="360" w:lineRule="auto"/>
        <w:jc w:val="center"/>
        <w:rPr>
          <w:rFonts w:ascii="黑体" w:hAnsi="黑体" w:eastAsia="黑体"/>
          <w:b/>
          <w:sz w:val="44"/>
          <w:szCs w:val="44"/>
        </w:rPr>
      </w:pPr>
    </w:p>
    <w:p>
      <w:pPr>
        <w:spacing w:line="360" w:lineRule="auto"/>
        <w:jc w:val="center"/>
        <w:rPr>
          <w:rFonts w:ascii="黑体" w:hAnsi="黑体" w:eastAsia="黑体"/>
          <w:b/>
          <w:sz w:val="44"/>
          <w:szCs w:val="44"/>
        </w:rPr>
      </w:pPr>
    </w:p>
    <w:p>
      <w:pPr>
        <w:spacing w:line="360" w:lineRule="auto"/>
        <w:jc w:val="center"/>
        <w:rPr>
          <w:rFonts w:ascii="黑体" w:hAnsi="黑体" w:eastAsia="黑体"/>
          <w:b/>
          <w:sz w:val="44"/>
          <w:szCs w:val="44"/>
        </w:rPr>
      </w:pPr>
    </w:p>
    <w:p>
      <w:pPr>
        <w:spacing w:line="360" w:lineRule="auto"/>
        <w:jc w:val="center"/>
        <w:rPr>
          <w:rFonts w:ascii="黑体" w:hAnsi="黑体" w:eastAsia="黑体"/>
          <w:b/>
          <w:sz w:val="44"/>
          <w:szCs w:val="44"/>
        </w:rPr>
      </w:pPr>
    </w:p>
    <w:p>
      <w:pPr>
        <w:jc w:val="center"/>
        <w:rPr>
          <w:rFonts w:ascii="黑体" w:hAnsi="黑体" w:eastAsia="黑体" w:cs="方正小标宋简体"/>
          <w:sz w:val="44"/>
          <w:szCs w:val="44"/>
        </w:rPr>
      </w:pPr>
    </w:p>
    <w:p>
      <w:pPr>
        <w:jc w:val="center"/>
        <w:rPr>
          <w:rFonts w:ascii="黑体" w:hAnsi="黑体" w:eastAsia="黑体" w:cs="方正小标宋简体"/>
          <w:sz w:val="44"/>
          <w:szCs w:val="44"/>
        </w:rPr>
      </w:pPr>
    </w:p>
    <w:p>
      <w:pPr>
        <w:jc w:val="center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方正小标宋简体"/>
          <w:sz w:val="44"/>
          <w:szCs w:val="44"/>
        </w:rPr>
        <w:t>目</w:t>
      </w:r>
      <w:r>
        <w:rPr>
          <w:rFonts w:ascii="黑体" w:hAnsi="黑体" w:eastAsia="黑体" w:cs="方正小标宋简体"/>
          <w:sz w:val="44"/>
          <w:szCs w:val="44"/>
        </w:rPr>
        <w:t xml:space="preserve"> </w:t>
      </w:r>
      <w:r>
        <w:rPr>
          <w:rFonts w:hint="eastAsia" w:ascii="黑体" w:hAnsi="黑体" w:eastAsia="黑体" w:cs="方正小标宋简体"/>
          <w:sz w:val="44"/>
          <w:szCs w:val="44"/>
        </w:rPr>
        <w:t>录</w:t>
      </w:r>
    </w:p>
    <w:p>
      <w:pPr>
        <w:spacing w:line="500" w:lineRule="exac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第一部分</w:t>
      </w:r>
      <w:r>
        <w:rPr>
          <w:rFonts w:ascii="黑体" w:hAnsi="黑体" w:eastAsia="黑体" w:cs="黑体"/>
          <w:sz w:val="32"/>
          <w:szCs w:val="32"/>
        </w:rPr>
        <w:t xml:space="preserve">   2016 </w:t>
      </w:r>
      <w:r>
        <w:rPr>
          <w:rFonts w:hint="eastAsia" w:ascii="黑体" w:hAnsi="黑体" w:eastAsia="黑体" w:cs="黑体"/>
          <w:sz w:val="32"/>
          <w:szCs w:val="32"/>
        </w:rPr>
        <w:t>年</w:t>
      </w:r>
      <w:r>
        <w:rPr>
          <w:rFonts w:ascii="黑体" w:hAnsi="黑体" w:eastAsia="黑体" w:cs="黑体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</w:rPr>
        <w:t>维稳办</w:t>
      </w:r>
      <w:r>
        <w:rPr>
          <w:rFonts w:ascii="黑体" w:hAnsi="黑体" w:eastAsia="黑体" w:cs="黑体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</w:rPr>
        <w:t>部门预算基本情况说明</w:t>
      </w:r>
    </w:p>
    <w:p>
      <w:pPr>
        <w:numPr>
          <w:ilvl w:val="0"/>
          <w:numId w:val="1"/>
        </w:num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部门基本情况</w:t>
      </w:r>
    </w:p>
    <w:p>
      <w:p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（一）主要职责</w:t>
      </w:r>
    </w:p>
    <w:p>
      <w:p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（二）机构设置</w:t>
      </w:r>
    </w:p>
    <w:p>
      <w:p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二、收入预算说明</w:t>
      </w:r>
    </w:p>
    <w:p>
      <w:p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三、支出预算说明</w:t>
      </w:r>
    </w:p>
    <w:p>
      <w:p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四、</w:t>
      </w:r>
      <w:r>
        <w:rPr>
          <w:rFonts w:ascii="黑体" w:hAnsi="黑体" w:eastAsia="黑体" w:cs="仿宋_GB2312"/>
          <w:sz w:val="32"/>
          <w:szCs w:val="32"/>
        </w:rPr>
        <w:t>"</w:t>
      </w:r>
      <w:r>
        <w:rPr>
          <w:rFonts w:hint="eastAsia" w:ascii="黑体" w:hAnsi="黑体" w:eastAsia="黑体" w:cs="仿宋_GB2312"/>
          <w:sz w:val="32"/>
          <w:szCs w:val="32"/>
        </w:rPr>
        <w:t>三公</w:t>
      </w:r>
      <w:r>
        <w:rPr>
          <w:rFonts w:ascii="黑体" w:hAnsi="黑体" w:eastAsia="黑体" w:cs="仿宋_GB2312"/>
          <w:sz w:val="32"/>
          <w:szCs w:val="32"/>
        </w:rPr>
        <w:t>"</w:t>
      </w:r>
      <w:r>
        <w:rPr>
          <w:rFonts w:hint="eastAsia" w:ascii="黑体" w:hAnsi="黑体" w:eastAsia="黑体" w:cs="仿宋_GB2312"/>
          <w:sz w:val="32"/>
          <w:szCs w:val="32"/>
        </w:rPr>
        <w:t>经费说明</w:t>
      </w:r>
    </w:p>
    <w:p>
      <w:pPr>
        <w:spacing w:line="500" w:lineRule="exact"/>
        <w:rPr>
          <w:rFonts w:ascii="黑体" w:hAnsi="黑体" w:eastAsia="黑体" w:cs="仿宋_GB2312"/>
          <w:sz w:val="32"/>
          <w:szCs w:val="32"/>
        </w:rPr>
      </w:pPr>
      <w:r>
        <w:rPr>
          <w:rFonts w:ascii="黑体" w:hAnsi="黑体" w:eastAsia="黑体" w:cs="仿宋_GB2312"/>
          <w:sz w:val="32"/>
          <w:szCs w:val="32"/>
        </w:rPr>
        <w:t xml:space="preserve">  </w:t>
      </w:r>
      <w:r>
        <w:rPr>
          <w:rFonts w:hint="eastAsia" w:ascii="黑体" w:hAnsi="黑体" w:eastAsia="黑体" w:cs="仿宋_GB2312"/>
          <w:sz w:val="32"/>
          <w:szCs w:val="32"/>
        </w:rPr>
        <w:t>五、其他需要说明的情况</w:t>
      </w:r>
    </w:p>
    <w:p>
      <w:pPr>
        <w:spacing w:line="500" w:lineRule="exact"/>
        <w:rPr>
          <w:rFonts w:ascii="黑体" w:hAnsi="黑体" w:eastAsia="黑体" w:cs="仿宋_GB2312"/>
          <w:sz w:val="32"/>
          <w:szCs w:val="32"/>
        </w:rPr>
      </w:pPr>
      <w:r>
        <w:rPr>
          <w:rFonts w:ascii="黑体" w:hAnsi="黑体" w:eastAsia="黑体" w:cs="仿宋_GB2312"/>
          <w:sz w:val="32"/>
          <w:szCs w:val="32"/>
        </w:rPr>
        <w:t xml:space="preserve">    </w:t>
      </w:r>
      <w:r>
        <w:rPr>
          <w:rFonts w:hint="eastAsia" w:ascii="黑体" w:hAnsi="黑体" w:eastAsia="黑体" w:cs="仿宋_GB2312"/>
          <w:sz w:val="32"/>
          <w:szCs w:val="32"/>
        </w:rPr>
        <w:t>（一）机关运行经费情况</w:t>
      </w:r>
    </w:p>
    <w:p>
      <w:pPr>
        <w:spacing w:line="500" w:lineRule="exact"/>
        <w:rPr>
          <w:rFonts w:ascii="黑体" w:hAnsi="黑体" w:eastAsia="黑体" w:cs="仿宋_GB2312"/>
          <w:sz w:val="32"/>
          <w:szCs w:val="32"/>
        </w:rPr>
      </w:pPr>
      <w:r>
        <w:rPr>
          <w:rFonts w:ascii="黑体" w:hAnsi="黑体" w:eastAsia="黑体" w:cs="仿宋_GB2312"/>
          <w:sz w:val="32"/>
          <w:szCs w:val="32"/>
        </w:rPr>
        <w:t xml:space="preserve">    </w:t>
      </w:r>
      <w:r>
        <w:rPr>
          <w:rFonts w:hint="eastAsia" w:ascii="黑体" w:hAnsi="黑体" w:eastAsia="黑体" w:cs="仿宋_GB2312"/>
          <w:sz w:val="32"/>
          <w:szCs w:val="32"/>
        </w:rPr>
        <w:t>（二）政府采购安排情况</w:t>
      </w:r>
    </w:p>
    <w:p>
      <w:p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（三）国有资产占有使用情况</w:t>
      </w:r>
    </w:p>
    <w:p>
      <w:pPr>
        <w:spacing w:line="500" w:lineRule="exact"/>
        <w:ind w:firstLine="480" w:firstLineChars="15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（四）重点项目预算绩效目标设置情况</w:t>
      </w:r>
    </w:p>
    <w:p>
      <w:p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（五）专业名词解释</w:t>
      </w:r>
    </w:p>
    <w:p>
      <w:p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</w:p>
    <w:p>
      <w:pPr>
        <w:spacing w:line="500" w:lineRule="exac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第二部分</w:t>
      </w:r>
      <w:r>
        <w:rPr>
          <w:rFonts w:ascii="黑体" w:hAnsi="黑体" w:eastAsia="黑体" w:cs="黑体"/>
          <w:sz w:val="32"/>
          <w:szCs w:val="32"/>
        </w:rPr>
        <w:t xml:space="preserve">    2016 </w:t>
      </w:r>
      <w:r>
        <w:rPr>
          <w:rFonts w:hint="eastAsia" w:ascii="黑体" w:hAnsi="黑体" w:eastAsia="黑体" w:cs="黑体"/>
          <w:sz w:val="32"/>
          <w:szCs w:val="32"/>
        </w:rPr>
        <w:t>年</w:t>
      </w:r>
      <w:r>
        <w:rPr>
          <w:rFonts w:ascii="黑体" w:hAnsi="黑体" w:eastAsia="黑体" w:cs="黑体"/>
          <w:sz w:val="32"/>
          <w:szCs w:val="32"/>
        </w:rPr>
        <w:t xml:space="preserve">  </w:t>
      </w:r>
      <w:r>
        <w:rPr>
          <w:rFonts w:hint="eastAsia" w:ascii="黑体" w:hAnsi="黑体" w:eastAsia="黑体" w:cs="黑体"/>
          <w:sz w:val="32"/>
          <w:szCs w:val="32"/>
        </w:rPr>
        <w:t>维稳办</w:t>
      </w:r>
      <w:r>
        <w:rPr>
          <w:rFonts w:ascii="黑体" w:hAnsi="黑体" w:eastAsia="黑体" w:cs="黑体"/>
          <w:sz w:val="32"/>
          <w:szCs w:val="32"/>
        </w:rPr>
        <w:t xml:space="preserve">  </w:t>
      </w:r>
      <w:r>
        <w:rPr>
          <w:rFonts w:hint="eastAsia" w:ascii="黑体" w:hAnsi="黑体" w:eastAsia="黑体" w:cs="黑体"/>
          <w:sz w:val="32"/>
          <w:szCs w:val="32"/>
        </w:rPr>
        <w:t>部门预算表</w:t>
      </w:r>
    </w:p>
    <w:p>
      <w:pPr>
        <w:pStyle w:val="9"/>
        <w:snapToGrid w:val="0"/>
        <w:spacing w:line="500" w:lineRule="exact"/>
        <w:ind w:firstLine="64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一、</w:t>
      </w:r>
      <w:r>
        <w:rPr>
          <w:rFonts w:ascii="黑体" w:hAnsi="黑体" w:eastAsia="黑体" w:cs="仿宋_GB2312"/>
          <w:sz w:val="32"/>
          <w:szCs w:val="32"/>
        </w:rPr>
        <w:t>2016</w:t>
      </w:r>
      <w:r>
        <w:rPr>
          <w:rFonts w:hint="eastAsia" w:ascii="黑体" w:hAnsi="黑体" w:eastAsia="黑体" w:cs="仿宋_GB2312"/>
          <w:sz w:val="32"/>
          <w:szCs w:val="32"/>
        </w:rPr>
        <w:t>年财政拨款收支总表</w:t>
      </w:r>
    </w:p>
    <w:p>
      <w:pPr>
        <w:pStyle w:val="9"/>
        <w:snapToGrid w:val="0"/>
        <w:spacing w:line="500" w:lineRule="exact"/>
        <w:ind w:firstLine="64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二、</w:t>
      </w:r>
      <w:r>
        <w:rPr>
          <w:rFonts w:ascii="黑体" w:hAnsi="黑体" w:eastAsia="黑体" w:cs="仿宋_GB2312"/>
          <w:sz w:val="32"/>
          <w:szCs w:val="32"/>
        </w:rPr>
        <w:t>2016</w:t>
      </w:r>
      <w:r>
        <w:rPr>
          <w:rFonts w:hint="eastAsia" w:ascii="黑体" w:hAnsi="黑体" w:eastAsia="黑体" w:cs="仿宋_GB2312"/>
          <w:sz w:val="32"/>
          <w:szCs w:val="32"/>
        </w:rPr>
        <w:t>年一般公共预算支出表</w:t>
      </w:r>
    </w:p>
    <w:p>
      <w:pPr>
        <w:pStyle w:val="9"/>
        <w:snapToGrid w:val="0"/>
        <w:spacing w:line="500" w:lineRule="exact"/>
        <w:ind w:firstLine="64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三、</w:t>
      </w:r>
      <w:r>
        <w:rPr>
          <w:rFonts w:ascii="黑体" w:hAnsi="黑体" w:eastAsia="黑体" w:cs="仿宋_GB2312"/>
          <w:sz w:val="32"/>
          <w:szCs w:val="32"/>
        </w:rPr>
        <w:t>2016</w:t>
      </w:r>
      <w:r>
        <w:rPr>
          <w:rFonts w:hint="eastAsia" w:ascii="黑体" w:hAnsi="黑体" w:eastAsia="黑体" w:cs="仿宋_GB2312"/>
          <w:sz w:val="32"/>
          <w:szCs w:val="32"/>
        </w:rPr>
        <w:t>年一般公共预算基本支出表（部门经济分类）</w:t>
      </w:r>
    </w:p>
    <w:p>
      <w:pPr>
        <w:pStyle w:val="9"/>
        <w:snapToGrid w:val="0"/>
        <w:spacing w:line="500" w:lineRule="exact"/>
        <w:ind w:firstLine="64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四、</w:t>
      </w:r>
      <w:r>
        <w:rPr>
          <w:rFonts w:ascii="黑体" w:hAnsi="黑体" w:eastAsia="黑体" w:cs="仿宋_GB2312"/>
          <w:sz w:val="32"/>
          <w:szCs w:val="32"/>
        </w:rPr>
        <w:t>2016</w:t>
      </w:r>
      <w:r>
        <w:rPr>
          <w:rFonts w:hint="eastAsia" w:ascii="黑体" w:hAnsi="黑体" w:eastAsia="黑体" w:cs="仿宋_GB2312"/>
          <w:sz w:val="32"/>
          <w:szCs w:val="32"/>
        </w:rPr>
        <w:t>年一般公共预算“三公”经费支出表</w:t>
      </w:r>
    </w:p>
    <w:p>
      <w:pPr>
        <w:pStyle w:val="9"/>
        <w:snapToGrid w:val="0"/>
        <w:spacing w:line="500" w:lineRule="exact"/>
        <w:ind w:firstLine="64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五、</w:t>
      </w:r>
      <w:r>
        <w:rPr>
          <w:rFonts w:ascii="黑体" w:hAnsi="黑体" w:eastAsia="黑体" w:cs="仿宋_GB2312"/>
          <w:sz w:val="32"/>
          <w:szCs w:val="32"/>
        </w:rPr>
        <w:t>2016</w:t>
      </w:r>
      <w:r>
        <w:rPr>
          <w:rFonts w:hint="eastAsia" w:ascii="黑体" w:hAnsi="黑体" w:eastAsia="黑体" w:cs="仿宋_GB2312"/>
          <w:sz w:val="32"/>
          <w:szCs w:val="32"/>
        </w:rPr>
        <w:t>年政府性基金预算支出表</w:t>
      </w:r>
    </w:p>
    <w:p>
      <w:pPr>
        <w:pStyle w:val="9"/>
        <w:snapToGrid w:val="0"/>
        <w:spacing w:line="500" w:lineRule="exact"/>
        <w:ind w:firstLine="64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六、</w:t>
      </w:r>
      <w:r>
        <w:rPr>
          <w:rFonts w:ascii="黑体" w:hAnsi="黑体" w:eastAsia="黑体" w:cs="仿宋_GB2312"/>
          <w:sz w:val="32"/>
          <w:szCs w:val="32"/>
        </w:rPr>
        <w:t>2016</w:t>
      </w:r>
      <w:r>
        <w:rPr>
          <w:rFonts w:hint="eastAsia" w:ascii="黑体" w:hAnsi="黑体" w:eastAsia="黑体" w:cs="仿宋_GB2312"/>
          <w:sz w:val="32"/>
          <w:szCs w:val="32"/>
        </w:rPr>
        <w:t>年部门收支总表</w:t>
      </w:r>
    </w:p>
    <w:p>
      <w:pPr>
        <w:pStyle w:val="9"/>
        <w:snapToGrid w:val="0"/>
        <w:spacing w:line="500" w:lineRule="exact"/>
        <w:ind w:firstLine="64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七、</w:t>
      </w:r>
      <w:r>
        <w:rPr>
          <w:rFonts w:ascii="黑体" w:hAnsi="黑体" w:eastAsia="黑体" w:cs="仿宋_GB2312"/>
          <w:sz w:val="32"/>
          <w:szCs w:val="32"/>
        </w:rPr>
        <w:t>2016</w:t>
      </w:r>
      <w:r>
        <w:rPr>
          <w:rFonts w:hint="eastAsia" w:ascii="黑体" w:hAnsi="黑体" w:eastAsia="黑体" w:cs="仿宋_GB2312"/>
          <w:sz w:val="32"/>
          <w:szCs w:val="32"/>
        </w:rPr>
        <w:t>年部门收入表</w:t>
      </w:r>
    </w:p>
    <w:p>
      <w:pPr>
        <w:widowControl/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八、</w:t>
      </w:r>
      <w:r>
        <w:rPr>
          <w:rFonts w:ascii="黑体" w:hAnsi="黑体" w:eastAsia="黑体" w:cs="仿宋_GB2312"/>
          <w:sz w:val="32"/>
          <w:szCs w:val="32"/>
        </w:rPr>
        <w:t>2016</w:t>
      </w:r>
      <w:r>
        <w:rPr>
          <w:rFonts w:hint="eastAsia" w:ascii="黑体" w:hAnsi="黑体" w:eastAsia="黑体" w:cs="仿宋_GB2312"/>
          <w:sz w:val="32"/>
          <w:szCs w:val="32"/>
        </w:rPr>
        <w:t>年部门支出表</w:t>
      </w:r>
    </w:p>
    <w:p>
      <w:pPr>
        <w:spacing w:line="360" w:lineRule="auto"/>
        <w:jc w:val="center"/>
        <w:rPr>
          <w:rFonts w:ascii="黑体" w:hAnsi="黑体" w:eastAsia="黑体"/>
          <w:b/>
          <w:sz w:val="44"/>
          <w:szCs w:val="44"/>
        </w:rPr>
      </w:pPr>
    </w:p>
    <w:p>
      <w:pPr>
        <w:spacing w:line="360" w:lineRule="auto"/>
        <w:jc w:val="center"/>
        <w:rPr>
          <w:rFonts w:ascii="黑体" w:hAnsi="黑体" w:eastAsia="黑体"/>
          <w:b/>
          <w:sz w:val="44"/>
          <w:szCs w:val="44"/>
        </w:rPr>
      </w:pPr>
    </w:p>
    <w:p>
      <w:pPr>
        <w:spacing w:line="360" w:lineRule="auto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ascii="黑体" w:hAnsi="黑体" w:eastAsia="黑体"/>
          <w:b/>
          <w:sz w:val="44"/>
          <w:szCs w:val="44"/>
        </w:rPr>
        <w:t>2016</w:t>
      </w:r>
      <w:r>
        <w:rPr>
          <w:rFonts w:hint="eastAsia" w:ascii="黑体" w:hAnsi="黑体" w:eastAsia="黑体"/>
          <w:b/>
          <w:sz w:val="44"/>
          <w:szCs w:val="44"/>
        </w:rPr>
        <w:t>年霞山区维稳办部门预算基本情况说明</w:t>
      </w:r>
    </w:p>
    <w:p>
      <w:pPr>
        <w:spacing w:line="360" w:lineRule="auto"/>
        <w:jc w:val="center"/>
        <w:rPr>
          <w:rFonts w:ascii="黑体" w:hAnsi="黑体" w:eastAsia="黑体"/>
          <w:b/>
          <w:bCs/>
          <w:sz w:val="36"/>
          <w:szCs w:val="36"/>
        </w:rPr>
      </w:pPr>
    </w:p>
    <w:p>
      <w:pPr>
        <w:spacing w:line="360" w:lineRule="auto"/>
        <w:ind w:firstLine="643" w:firstLineChars="200"/>
        <w:outlineLvl w:val="0"/>
        <w:rPr>
          <w:rFonts w:ascii="黑体" w:hAnsi="黑体" w:eastAsia="黑体" w:cs="仿宋_GB2312"/>
          <w:b/>
          <w:sz w:val="32"/>
          <w:szCs w:val="32"/>
        </w:rPr>
      </w:pPr>
      <w:r>
        <w:rPr>
          <w:rFonts w:hint="eastAsia" w:ascii="黑体" w:hAnsi="黑体" w:eastAsia="黑体" w:cs="仿宋_GB2312"/>
          <w:b/>
          <w:sz w:val="32"/>
          <w:szCs w:val="32"/>
        </w:rPr>
        <w:t>一、部门基本情况</w:t>
      </w:r>
    </w:p>
    <w:p>
      <w:pPr>
        <w:spacing w:line="360" w:lineRule="auto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（一）主要职责</w:t>
      </w:r>
    </w:p>
    <w:p>
      <w:pPr>
        <w:widowControl/>
        <w:spacing w:line="450" w:lineRule="atLeast"/>
        <w:ind w:firstLine="675" w:firstLineChars="225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30"/>
          <w:szCs w:val="30"/>
        </w:rPr>
        <w:t>区委维稳办是正科级单位，主要职责：指导、协调全区维护社会政治稳定工作，掌握分析社会安定形势；督促检查落实维护稳定的各项措施；研究有关的方针政策重大措施和提出建议。</w:t>
      </w:r>
    </w:p>
    <w:p>
      <w:pPr>
        <w:widowControl/>
        <w:spacing w:line="450" w:lineRule="atLeast"/>
        <w:ind w:firstLine="675" w:firstLineChars="225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30"/>
          <w:szCs w:val="30"/>
        </w:rPr>
        <w:t>区国家安全工作领导小组办公室挂靠在区委维稳办，主要负责我区国家安全工作。</w:t>
      </w:r>
    </w:p>
    <w:p>
      <w:pPr>
        <w:spacing w:line="288" w:lineRule="auto"/>
        <w:ind w:firstLine="600" w:firstLineChars="200"/>
        <w:rPr>
          <w:rFonts w:ascii="宋体" w:hAnsi="宋体"/>
          <w:sz w:val="32"/>
          <w:szCs w:val="32"/>
        </w:rPr>
      </w:pPr>
      <w:r>
        <w:rPr>
          <w:rFonts w:hint="eastAsia" w:ascii="宋体" w:hAnsi="宋体" w:cs="宋体"/>
          <w:kern w:val="0"/>
          <w:sz w:val="30"/>
          <w:szCs w:val="30"/>
        </w:rPr>
        <w:t>维护社会稳定工作和国家安全工作是一项长期而繁重的工作。区委维稳办（国安办）在完成区委、区政府的统一工作部署同时，主要担负情报信息的搜集、分析研判；稳控重点上访人；重大活动和节假日、敏感期的防护值班；组织开展矛盾纠纷排查和不稳定因素的化解；协调解决上访案件；及时处置突发事件和群体性事件以及国家安全等方面的工作。</w:t>
      </w:r>
    </w:p>
    <w:p>
      <w:pPr>
        <w:spacing w:line="360" w:lineRule="auto"/>
        <w:ind w:firstLine="640" w:firstLineChars="200"/>
        <w:rPr>
          <w:rFonts w:ascii="黑体" w:hAnsi="黑体" w:eastAsia="黑体" w:cs="仿宋_GB2312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仿宋_GB2312"/>
          <w:sz w:val="32"/>
          <w:szCs w:val="32"/>
        </w:rPr>
        <w:t>（二）机构设置</w:t>
      </w:r>
    </w:p>
    <w:p>
      <w:pPr>
        <w:spacing w:line="360" w:lineRule="auto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本部门无下属单位，部门预算为本级预算。</w:t>
      </w:r>
    </w:p>
    <w:p>
      <w:pPr>
        <w:widowControl/>
        <w:spacing w:line="450" w:lineRule="atLeast"/>
        <w:ind w:firstLine="450" w:firstLineChars="15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30"/>
          <w:szCs w:val="30"/>
        </w:rPr>
        <w:t>区委维稳办定编2人，国安办1人, 现在编3人。借用2人。无离退休人员。</w:t>
      </w:r>
    </w:p>
    <w:p>
      <w:pPr>
        <w:spacing w:line="500" w:lineRule="exact"/>
        <w:ind w:firstLine="643" w:firstLineChars="200"/>
        <w:outlineLvl w:val="0"/>
        <w:rPr>
          <w:rFonts w:ascii="黑体" w:hAnsi="黑体" w:eastAsia="黑体" w:cs="仿宋_GB2312"/>
          <w:b/>
          <w:sz w:val="32"/>
          <w:szCs w:val="32"/>
        </w:rPr>
      </w:pPr>
      <w:r>
        <w:rPr>
          <w:rFonts w:hint="eastAsia" w:ascii="黑体" w:hAnsi="黑体" w:eastAsia="黑体" w:cs="仿宋_GB2312"/>
          <w:b/>
          <w:sz w:val="32"/>
          <w:szCs w:val="32"/>
        </w:rPr>
        <w:t>二、收入预算说明</w:t>
      </w:r>
    </w:p>
    <w:p>
      <w:p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ascii="黑体" w:hAnsi="黑体" w:eastAsia="黑体" w:cs="仿宋_GB2312"/>
          <w:sz w:val="32"/>
          <w:szCs w:val="32"/>
        </w:rPr>
        <w:t>2016</w:t>
      </w:r>
      <w:r>
        <w:rPr>
          <w:rFonts w:hint="eastAsia" w:ascii="黑体" w:hAnsi="黑体" w:eastAsia="黑体" w:cs="仿宋_GB2312"/>
          <w:sz w:val="32"/>
          <w:szCs w:val="32"/>
        </w:rPr>
        <w:t>年收入预算</w:t>
      </w:r>
      <w:r>
        <w:rPr>
          <w:rFonts w:ascii="黑体" w:hAnsi="黑体" w:eastAsia="黑体" w:cs="仿宋_GB2312"/>
          <w:sz w:val="32"/>
          <w:szCs w:val="32"/>
        </w:rPr>
        <w:t>41.07</w:t>
      </w:r>
      <w:r>
        <w:rPr>
          <w:rFonts w:hint="eastAsia" w:ascii="黑体" w:hAnsi="黑体" w:eastAsia="黑体" w:cs="仿宋_GB2312"/>
          <w:sz w:val="32"/>
          <w:szCs w:val="32"/>
        </w:rPr>
        <w:t>万元，同比增加</w:t>
      </w:r>
      <w:r>
        <w:rPr>
          <w:rFonts w:ascii="黑体" w:hAnsi="黑体" w:eastAsia="黑体" w:cs="仿宋_GB2312"/>
          <w:sz w:val="32"/>
          <w:szCs w:val="32"/>
        </w:rPr>
        <w:t>18.07</w:t>
      </w:r>
      <w:r>
        <w:rPr>
          <w:rFonts w:hint="eastAsia" w:ascii="黑体" w:hAnsi="黑体" w:eastAsia="黑体" w:cs="仿宋_GB2312"/>
          <w:sz w:val="32"/>
          <w:szCs w:val="32"/>
        </w:rPr>
        <w:t>万元</w:t>
      </w:r>
      <w:r>
        <w:rPr>
          <w:rFonts w:ascii="黑体" w:hAnsi="黑体" w:eastAsia="黑体" w:cs="仿宋_GB2312"/>
          <w:sz w:val="32"/>
          <w:szCs w:val="32"/>
        </w:rPr>
        <w:t>,</w:t>
      </w:r>
      <w:r>
        <w:rPr>
          <w:rFonts w:hint="eastAsia" w:ascii="黑体" w:hAnsi="黑体" w:eastAsia="黑体" w:cs="仿宋_GB2312"/>
          <w:sz w:val="32"/>
          <w:szCs w:val="32"/>
        </w:rPr>
        <w:t>增长</w:t>
      </w:r>
      <w:r>
        <w:rPr>
          <w:rFonts w:ascii="黑体" w:hAnsi="黑体" w:eastAsia="黑体" w:cs="仿宋_GB2312"/>
          <w:sz w:val="32"/>
          <w:szCs w:val="32"/>
        </w:rPr>
        <w:t>78</w:t>
      </w:r>
      <w:r>
        <w:rPr>
          <w:rFonts w:hint="eastAsia" w:ascii="黑体" w:hAnsi="黑体" w:eastAsia="黑体" w:cs="仿宋_GB2312"/>
          <w:sz w:val="32"/>
          <w:szCs w:val="32"/>
        </w:rPr>
        <w:t>.</w:t>
      </w:r>
      <w:r>
        <w:rPr>
          <w:rFonts w:ascii="黑体" w:hAnsi="黑体" w:eastAsia="黑体" w:cs="仿宋_GB2312"/>
          <w:sz w:val="32"/>
          <w:szCs w:val="32"/>
        </w:rPr>
        <w:t>5</w:t>
      </w:r>
      <w:r>
        <w:rPr>
          <w:rFonts w:hint="eastAsia" w:ascii="黑体" w:hAnsi="黑体" w:eastAsia="黑体" w:cs="仿宋_GB2312"/>
          <w:sz w:val="32"/>
          <w:szCs w:val="32"/>
        </w:rPr>
        <w:t>7</w:t>
      </w:r>
      <w:r>
        <w:rPr>
          <w:rFonts w:ascii="黑体" w:hAnsi="黑体" w:eastAsia="黑体" w:cs="仿宋_GB2312"/>
          <w:sz w:val="32"/>
          <w:szCs w:val="32"/>
        </w:rPr>
        <w:t>%</w:t>
      </w:r>
      <w:r>
        <w:rPr>
          <w:rFonts w:hint="eastAsia" w:ascii="黑体" w:hAnsi="黑体" w:eastAsia="黑体" w:cs="仿宋_GB2312"/>
          <w:sz w:val="32"/>
          <w:szCs w:val="32"/>
        </w:rPr>
        <w:t>。增加的原因的由于工资福利支出和对个人和家庭的补助增加。其中：预算经费安排拨款</w:t>
      </w:r>
      <w:r>
        <w:rPr>
          <w:rFonts w:ascii="黑体" w:hAnsi="黑体" w:eastAsia="黑体" w:cs="仿宋_GB2312"/>
          <w:sz w:val="32"/>
          <w:szCs w:val="32"/>
        </w:rPr>
        <w:t>41.07</w:t>
      </w:r>
      <w:r>
        <w:rPr>
          <w:rFonts w:hint="eastAsia" w:ascii="黑体" w:hAnsi="黑体" w:eastAsia="黑体" w:cs="仿宋_GB2312"/>
          <w:sz w:val="32"/>
          <w:szCs w:val="32"/>
        </w:rPr>
        <w:t>万元，其他非税收入安排拨款</w:t>
      </w:r>
      <w:r>
        <w:rPr>
          <w:rFonts w:ascii="黑体" w:hAnsi="黑体" w:eastAsia="黑体" w:cs="仿宋_GB2312"/>
          <w:sz w:val="32"/>
          <w:szCs w:val="32"/>
        </w:rPr>
        <w:t>0</w:t>
      </w:r>
      <w:r>
        <w:rPr>
          <w:rFonts w:hint="eastAsia" w:ascii="黑体" w:hAnsi="黑体" w:eastAsia="黑体" w:cs="仿宋_GB2312"/>
          <w:sz w:val="32"/>
          <w:szCs w:val="32"/>
        </w:rPr>
        <w:t>万元。</w:t>
      </w:r>
    </w:p>
    <w:p>
      <w:pPr>
        <w:spacing w:line="500" w:lineRule="exact"/>
        <w:ind w:firstLine="643" w:firstLineChars="200"/>
        <w:rPr>
          <w:rFonts w:ascii="黑体" w:hAnsi="黑体" w:eastAsia="黑体" w:cs="仿宋_GB2312"/>
          <w:b/>
          <w:sz w:val="32"/>
          <w:szCs w:val="32"/>
        </w:rPr>
      </w:pPr>
      <w:r>
        <w:rPr>
          <w:rFonts w:hint="eastAsia" w:ascii="黑体" w:hAnsi="黑体" w:eastAsia="黑体" w:cs="仿宋_GB2312"/>
          <w:b/>
          <w:sz w:val="32"/>
          <w:szCs w:val="32"/>
        </w:rPr>
        <w:t>三、支出预算说明</w:t>
      </w:r>
    </w:p>
    <w:p>
      <w:p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ascii="黑体" w:hAnsi="黑体" w:eastAsia="黑体" w:cs="仿宋_GB2312"/>
          <w:sz w:val="32"/>
          <w:szCs w:val="32"/>
        </w:rPr>
        <w:t>2016</w:t>
      </w:r>
      <w:r>
        <w:rPr>
          <w:rFonts w:hint="eastAsia" w:ascii="黑体" w:hAnsi="黑体" w:eastAsia="黑体" w:cs="仿宋_GB2312"/>
          <w:sz w:val="32"/>
          <w:szCs w:val="32"/>
        </w:rPr>
        <w:t>年支出预算</w:t>
      </w:r>
      <w:r>
        <w:rPr>
          <w:rFonts w:ascii="黑体" w:hAnsi="黑体" w:eastAsia="黑体" w:cs="仿宋_GB2312"/>
          <w:sz w:val="32"/>
          <w:szCs w:val="32"/>
        </w:rPr>
        <w:t>41.07</w:t>
      </w:r>
      <w:r>
        <w:rPr>
          <w:rFonts w:hint="eastAsia" w:ascii="黑体" w:hAnsi="黑体" w:eastAsia="黑体" w:cs="仿宋_GB2312"/>
          <w:sz w:val="32"/>
          <w:szCs w:val="32"/>
        </w:rPr>
        <w:t>万元，同比增加</w:t>
      </w:r>
      <w:r>
        <w:rPr>
          <w:rFonts w:ascii="黑体" w:hAnsi="黑体" w:eastAsia="黑体" w:cs="仿宋_GB2312"/>
          <w:sz w:val="32"/>
          <w:szCs w:val="32"/>
        </w:rPr>
        <w:t>18.07</w:t>
      </w:r>
      <w:r>
        <w:rPr>
          <w:rFonts w:hint="eastAsia" w:ascii="黑体" w:hAnsi="黑体" w:eastAsia="黑体" w:cs="仿宋_GB2312"/>
          <w:sz w:val="32"/>
          <w:szCs w:val="32"/>
        </w:rPr>
        <w:t>万元</w:t>
      </w:r>
      <w:r>
        <w:rPr>
          <w:rFonts w:ascii="黑体" w:hAnsi="黑体" w:eastAsia="黑体" w:cs="仿宋_GB2312"/>
          <w:sz w:val="32"/>
          <w:szCs w:val="32"/>
        </w:rPr>
        <w:t>,</w:t>
      </w:r>
      <w:r>
        <w:rPr>
          <w:rFonts w:hint="eastAsia" w:ascii="黑体" w:hAnsi="黑体" w:eastAsia="黑体" w:cs="仿宋_GB2312"/>
          <w:sz w:val="32"/>
          <w:szCs w:val="32"/>
        </w:rPr>
        <w:t>增长</w:t>
      </w:r>
      <w:r>
        <w:rPr>
          <w:rFonts w:ascii="黑体" w:hAnsi="黑体" w:eastAsia="黑体" w:cs="仿宋_GB2312"/>
          <w:sz w:val="32"/>
          <w:szCs w:val="32"/>
        </w:rPr>
        <w:t>78</w:t>
      </w:r>
      <w:r>
        <w:rPr>
          <w:rFonts w:hint="eastAsia" w:ascii="黑体" w:hAnsi="黑体" w:eastAsia="黑体" w:cs="仿宋_GB2312"/>
          <w:sz w:val="32"/>
          <w:szCs w:val="32"/>
        </w:rPr>
        <w:t>.</w:t>
      </w:r>
      <w:r>
        <w:rPr>
          <w:rFonts w:ascii="黑体" w:hAnsi="黑体" w:eastAsia="黑体" w:cs="仿宋_GB2312"/>
          <w:sz w:val="32"/>
          <w:szCs w:val="32"/>
        </w:rPr>
        <w:t>5</w:t>
      </w:r>
      <w:r>
        <w:rPr>
          <w:rFonts w:hint="eastAsia" w:ascii="黑体" w:hAnsi="黑体" w:eastAsia="黑体" w:cs="仿宋_GB2312"/>
          <w:sz w:val="32"/>
          <w:szCs w:val="32"/>
        </w:rPr>
        <w:t>7</w:t>
      </w:r>
      <w:r>
        <w:rPr>
          <w:rFonts w:ascii="黑体" w:hAnsi="黑体" w:eastAsia="黑体" w:cs="仿宋_GB2312"/>
          <w:sz w:val="32"/>
          <w:szCs w:val="32"/>
        </w:rPr>
        <w:t>%</w:t>
      </w:r>
      <w:r>
        <w:rPr>
          <w:rFonts w:hint="eastAsia" w:ascii="黑体" w:hAnsi="黑体" w:eastAsia="黑体" w:cs="仿宋_GB2312"/>
          <w:sz w:val="32"/>
          <w:szCs w:val="32"/>
        </w:rPr>
        <w:t>。增加的原因的由于工资福利支出和对个人和家庭的补助增加。支出按经济分类划分：</w:t>
      </w:r>
      <w:r>
        <w:rPr>
          <w:rFonts w:ascii="黑体" w:hAnsi="黑体" w:eastAsia="黑体" w:cs="仿宋_GB2312"/>
          <w:sz w:val="32"/>
          <w:szCs w:val="32"/>
        </w:rPr>
        <w:t>1</w:t>
      </w:r>
      <w:r>
        <w:rPr>
          <w:rFonts w:hint="eastAsia" w:ascii="黑体" w:hAnsi="黑体" w:eastAsia="黑体" w:cs="仿宋_GB2312"/>
          <w:sz w:val="32"/>
          <w:szCs w:val="32"/>
        </w:rPr>
        <w:t>、基本支出预算</w:t>
      </w:r>
      <w:r>
        <w:rPr>
          <w:rFonts w:ascii="黑体" w:hAnsi="黑体" w:eastAsia="黑体" w:cs="仿宋_GB2312"/>
          <w:sz w:val="32"/>
          <w:szCs w:val="32"/>
        </w:rPr>
        <w:t>31.07</w:t>
      </w:r>
      <w:r>
        <w:rPr>
          <w:rFonts w:hint="eastAsia" w:ascii="黑体" w:hAnsi="黑体" w:eastAsia="黑体" w:cs="仿宋_GB2312"/>
          <w:sz w:val="32"/>
          <w:szCs w:val="32"/>
        </w:rPr>
        <w:t>万元，其中：工资福利支出</w:t>
      </w:r>
      <w:r>
        <w:rPr>
          <w:rFonts w:ascii="黑体" w:hAnsi="黑体" w:eastAsia="黑体" w:cs="仿宋_GB2312"/>
          <w:sz w:val="32"/>
          <w:szCs w:val="32"/>
        </w:rPr>
        <w:t>25.39</w:t>
      </w:r>
      <w:r>
        <w:rPr>
          <w:rFonts w:hint="eastAsia" w:ascii="黑体" w:hAnsi="黑体" w:eastAsia="黑体" w:cs="仿宋_GB2312"/>
          <w:sz w:val="32"/>
          <w:szCs w:val="32"/>
        </w:rPr>
        <w:t>万元，</w:t>
      </w:r>
      <w:r>
        <w:rPr>
          <w:rFonts w:ascii="黑体" w:hAnsi="黑体" w:eastAsia="黑体" w:cs="仿宋_GB2312"/>
          <w:sz w:val="32"/>
          <w:szCs w:val="32"/>
        </w:rPr>
        <w:t xml:space="preserve">  </w:t>
      </w:r>
      <w:r>
        <w:rPr>
          <w:rFonts w:hint="eastAsia" w:ascii="黑体" w:hAnsi="黑体" w:eastAsia="黑体" w:cs="仿宋_GB2312"/>
          <w:sz w:val="32"/>
          <w:szCs w:val="32"/>
        </w:rPr>
        <w:t>对个人和家庭的补助支出</w:t>
      </w:r>
      <w:r>
        <w:rPr>
          <w:rFonts w:ascii="黑体" w:hAnsi="黑体" w:eastAsia="黑体" w:cs="仿宋_GB2312"/>
          <w:sz w:val="32"/>
          <w:szCs w:val="32"/>
        </w:rPr>
        <w:t>2.81</w:t>
      </w:r>
      <w:r>
        <w:rPr>
          <w:rFonts w:hint="eastAsia" w:ascii="黑体" w:hAnsi="黑体" w:eastAsia="黑体" w:cs="仿宋_GB2312"/>
          <w:sz w:val="32"/>
          <w:szCs w:val="32"/>
        </w:rPr>
        <w:t>万元，一般商品和服务支出</w:t>
      </w:r>
      <w:r>
        <w:rPr>
          <w:rFonts w:ascii="黑体" w:hAnsi="黑体" w:eastAsia="黑体" w:cs="仿宋_GB2312"/>
          <w:sz w:val="32"/>
          <w:szCs w:val="32"/>
        </w:rPr>
        <w:t>2.87</w:t>
      </w:r>
      <w:r>
        <w:rPr>
          <w:rFonts w:hint="eastAsia" w:ascii="黑体" w:hAnsi="黑体" w:eastAsia="黑体" w:cs="仿宋_GB2312"/>
          <w:sz w:val="32"/>
          <w:szCs w:val="32"/>
        </w:rPr>
        <w:t>万元。</w:t>
      </w:r>
      <w:r>
        <w:rPr>
          <w:rFonts w:ascii="黑体" w:hAnsi="黑体" w:eastAsia="黑体" w:cs="仿宋_GB2312"/>
          <w:sz w:val="32"/>
          <w:szCs w:val="32"/>
        </w:rPr>
        <w:t>2</w:t>
      </w:r>
      <w:r>
        <w:rPr>
          <w:rFonts w:hint="eastAsia" w:ascii="黑体" w:hAnsi="黑体" w:eastAsia="黑体" w:cs="仿宋_GB2312"/>
          <w:sz w:val="32"/>
          <w:szCs w:val="32"/>
        </w:rPr>
        <w:t>、项目支出预算10万元。</w:t>
      </w:r>
    </w:p>
    <w:p>
      <w:pPr>
        <w:spacing w:line="500" w:lineRule="exact"/>
        <w:ind w:firstLine="643" w:firstLineChars="200"/>
        <w:rPr>
          <w:rFonts w:ascii="黑体" w:hAnsi="黑体" w:eastAsia="黑体" w:cs="仿宋_GB2312"/>
          <w:b/>
          <w:sz w:val="32"/>
          <w:szCs w:val="32"/>
        </w:rPr>
      </w:pPr>
      <w:r>
        <w:rPr>
          <w:rFonts w:hint="eastAsia" w:ascii="黑体" w:hAnsi="黑体" w:eastAsia="黑体" w:cs="仿宋_GB2312"/>
          <w:b/>
          <w:sz w:val="32"/>
          <w:szCs w:val="32"/>
        </w:rPr>
        <w:t>四、“三公经费”说明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2016</w:t>
      </w:r>
      <w:r>
        <w:rPr>
          <w:rFonts w:hint="eastAsia" w:ascii="黑体" w:hAnsi="黑体" w:eastAsia="黑体"/>
          <w:sz w:val="32"/>
          <w:szCs w:val="32"/>
        </w:rPr>
        <w:t>年“三公经费”预算安排共</w:t>
      </w:r>
      <w:r>
        <w:rPr>
          <w:rFonts w:ascii="黑体" w:hAnsi="黑体" w:eastAsia="黑体"/>
          <w:sz w:val="32"/>
          <w:szCs w:val="32"/>
        </w:rPr>
        <w:t>0</w:t>
      </w:r>
      <w:r>
        <w:rPr>
          <w:rFonts w:hint="eastAsia" w:ascii="黑体" w:hAnsi="黑体" w:eastAsia="黑体"/>
          <w:sz w:val="32"/>
          <w:szCs w:val="32"/>
        </w:rPr>
        <w:t>万元，与</w:t>
      </w:r>
      <w:r>
        <w:rPr>
          <w:rFonts w:ascii="黑体" w:hAnsi="黑体" w:eastAsia="黑体"/>
          <w:sz w:val="32"/>
          <w:szCs w:val="32"/>
        </w:rPr>
        <w:t>2015</w:t>
      </w:r>
      <w:r>
        <w:rPr>
          <w:rFonts w:hint="eastAsia" w:ascii="黑体" w:hAnsi="黑体" w:eastAsia="黑体"/>
          <w:sz w:val="32"/>
          <w:szCs w:val="32"/>
        </w:rPr>
        <w:t>年持平，具体情况如下：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1.</w:t>
      </w:r>
      <w:r>
        <w:rPr>
          <w:rFonts w:hint="eastAsia" w:ascii="黑体" w:hAnsi="黑体" w:eastAsia="黑体"/>
          <w:sz w:val="32"/>
          <w:szCs w:val="32"/>
        </w:rPr>
        <w:t>因公出国（境）费预算安排</w:t>
      </w:r>
      <w:r>
        <w:rPr>
          <w:rFonts w:ascii="黑体" w:hAnsi="黑体" w:eastAsia="黑体"/>
          <w:sz w:val="32"/>
          <w:szCs w:val="32"/>
        </w:rPr>
        <w:t>0</w:t>
      </w:r>
      <w:r>
        <w:rPr>
          <w:rFonts w:hint="eastAsia" w:ascii="黑体" w:hAnsi="黑体" w:eastAsia="黑体"/>
          <w:sz w:val="32"/>
          <w:szCs w:val="32"/>
        </w:rPr>
        <w:t>万元，与</w:t>
      </w:r>
      <w:r>
        <w:rPr>
          <w:rFonts w:ascii="黑体" w:hAnsi="黑体" w:eastAsia="黑体"/>
          <w:sz w:val="32"/>
          <w:szCs w:val="32"/>
        </w:rPr>
        <w:t>2015</w:t>
      </w:r>
      <w:r>
        <w:rPr>
          <w:rFonts w:hint="eastAsia" w:ascii="黑体" w:hAnsi="黑体" w:eastAsia="黑体"/>
          <w:sz w:val="32"/>
          <w:szCs w:val="32"/>
        </w:rPr>
        <w:t>年持平。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2.</w:t>
      </w:r>
      <w:r>
        <w:rPr>
          <w:rFonts w:hint="eastAsia" w:ascii="黑体" w:hAnsi="黑体" w:eastAsia="黑体"/>
          <w:sz w:val="32"/>
          <w:szCs w:val="32"/>
        </w:rPr>
        <w:t>公务用车购置及运行维护费预算安排</w:t>
      </w:r>
      <w:r>
        <w:rPr>
          <w:rFonts w:ascii="黑体" w:hAnsi="黑体" w:eastAsia="黑体"/>
          <w:sz w:val="32"/>
          <w:szCs w:val="32"/>
        </w:rPr>
        <w:t>0</w:t>
      </w:r>
      <w:r>
        <w:rPr>
          <w:rFonts w:hint="eastAsia" w:ascii="黑体" w:hAnsi="黑体" w:eastAsia="黑体"/>
          <w:sz w:val="32"/>
          <w:szCs w:val="32"/>
        </w:rPr>
        <w:t>万元，与</w:t>
      </w:r>
      <w:r>
        <w:rPr>
          <w:rFonts w:ascii="黑体" w:hAnsi="黑体" w:eastAsia="黑体"/>
          <w:sz w:val="32"/>
          <w:szCs w:val="32"/>
        </w:rPr>
        <w:t>2015</w:t>
      </w:r>
      <w:r>
        <w:rPr>
          <w:rFonts w:hint="eastAsia" w:ascii="黑体" w:hAnsi="黑体" w:eastAsia="黑体"/>
          <w:sz w:val="32"/>
          <w:szCs w:val="32"/>
        </w:rPr>
        <w:t>年持平。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3.</w:t>
      </w:r>
      <w:r>
        <w:rPr>
          <w:rFonts w:hint="eastAsia" w:ascii="黑体" w:hAnsi="黑体" w:eastAsia="黑体"/>
          <w:sz w:val="32"/>
          <w:szCs w:val="32"/>
        </w:rPr>
        <w:t>公务接待费预算安排</w:t>
      </w:r>
      <w:r>
        <w:rPr>
          <w:rFonts w:ascii="黑体" w:hAnsi="黑体" w:eastAsia="黑体"/>
          <w:sz w:val="32"/>
          <w:szCs w:val="32"/>
        </w:rPr>
        <w:t>0</w:t>
      </w:r>
      <w:r>
        <w:rPr>
          <w:rFonts w:hint="eastAsia" w:ascii="黑体" w:hAnsi="黑体" w:eastAsia="黑体"/>
          <w:sz w:val="32"/>
          <w:szCs w:val="32"/>
        </w:rPr>
        <w:t>万元。与</w:t>
      </w:r>
      <w:r>
        <w:rPr>
          <w:rFonts w:ascii="黑体" w:hAnsi="黑体" w:eastAsia="黑体"/>
          <w:sz w:val="32"/>
          <w:szCs w:val="32"/>
        </w:rPr>
        <w:t>2015</w:t>
      </w:r>
      <w:r>
        <w:rPr>
          <w:rFonts w:hint="eastAsia" w:ascii="黑体" w:hAnsi="黑体" w:eastAsia="黑体"/>
          <w:sz w:val="32"/>
          <w:szCs w:val="32"/>
        </w:rPr>
        <w:t>年持平。</w:t>
      </w:r>
    </w:p>
    <w:p>
      <w:pPr>
        <w:spacing w:line="500" w:lineRule="exact"/>
        <w:ind w:firstLine="643" w:firstLineChars="200"/>
        <w:rPr>
          <w:rFonts w:ascii="黑体" w:hAnsi="黑体" w:eastAsia="黑体" w:cs="仿宋_GB2312"/>
          <w:b/>
          <w:sz w:val="32"/>
          <w:szCs w:val="32"/>
        </w:rPr>
      </w:pPr>
      <w:r>
        <w:rPr>
          <w:rFonts w:hint="eastAsia" w:ascii="黑体" w:hAnsi="黑体" w:eastAsia="黑体" w:cs="仿宋_GB2312"/>
          <w:b/>
          <w:sz w:val="32"/>
          <w:szCs w:val="32"/>
        </w:rPr>
        <w:t>五、其他需要说明的情况</w:t>
      </w:r>
    </w:p>
    <w:p>
      <w:pPr>
        <w:spacing w:line="500" w:lineRule="exact"/>
        <w:ind w:firstLine="643" w:firstLineChars="200"/>
        <w:rPr>
          <w:rFonts w:ascii="黑体" w:hAnsi="黑体" w:eastAsia="黑体" w:cs="仿宋_GB2312"/>
          <w:b/>
          <w:sz w:val="32"/>
          <w:szCs w:val="32"/>
        </w:rPr>
      </w:pPr>
      <w:r>
        <w:rPr>
          <w:rFonts w:hint="eastAsia" w:ascii="黑体" w:hAnsi="黑体" w:eastAsia="黑体" w:cs="仿宋_GB2312"/>
          <w:b/>
          <w:sz w:val="32"/>
          <w:szCs w:val="32"/>
        </w:rPr>
        <w:t>（一）关于“机关运行经费”支出的说明</w:t>
      </w:r>
    </w:p>
    <w:p>
      <w:p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ascii="黑体" w:hAnsi="黑体" w:eastAsia="黑体" w:cs="仿宋_GB2312"/>
          <w:sz w:val="32"/>
          <w:szCs w:val="32"/>
        </w:rPr>
        <w:t>2016</w:t>
      </w:r>
      <w:r>
        <w:rPr>
          <w:rFonts w:hint="eastAsia" w:ascii="黑体" w:hAnsi="黑体" w:eastAsia="黑体" w:cs="仿宋_GB2312"/>
          <w:sz w:val="32"/>
          <w:szCs w:val="32"/>
        </w:rPr>
        <w:t>年“机关运行经费”支出</w:t>
      </w:r>
      <w:r>
        <w:rPr>
          <w:rFonts w:ascii="黑体" w:hAnsi="黑体" w:eastAsia="黑体" w:cs="仿宋_GB2312"/>
          <w:sz w:val="32"/>
          <w:szCs w:val="32"/>
        </w:rPr>
        <w:t>2.87</w:t>
      </w:r>
      <w:r>
        <w:rPr>
          <w:rFonts w:hint="eastAsia" w:ascii="黑体" w:hAnsi="黑体" w:eastAsia="黑体" w:cs="仿宋_GB2312"/>
          <w:sz w:val="32"/>
          <w:szCs w:val="32"/>
        </w:rPr>
        <w:t>万元，同比减少</w:t>
      </w:r>
      <w:r>
        <w:rPr>
          <w:rFonts w:ascii="黑体" w:hAnsi="黑体" w:eastAsia="黑体" w:cs="仿宋_GB2312"/>
          <w:sz w:val="32"/>
          <w:szCs w:val="32"/>
        </w:rPr>
        <w:t>0.23</w:t>
      </w:r>
      <w:r>
        <w:rPr>
          <w:rFonts w:hint="eastAsia" w:ascii="黑体" w:hAnsi="黑体" w:eastAsia="黑体" w:cs="仿宋_GB2312"/>
          <w:sz w:val="32"/>
          <w:szCs w:val="32"/>
        </w:rPr>
        <w:t>万元，减少的原因是办公费和其他交通费用（公务交通补贴）增加。其中：办公费</w:t>
      </w:r>
      <w:r>
        <w:rPr>
          <w:rFonts w:ascii="黑体" w:hAnsi="黑体" w:eastAsia="黑体" w:cs="仿宋_GB2312"/>
          <w:sz w:val="32"/>
          <w:szCs w:val="32"/>
        </w:rPr>
        <w:t>1.05</w:t>
      </w:r>
      <w:r>
        <w:rPr>
          <w:rFonts w:hint="eastAsia" w:ascii="黑体" w:hAnsi="黑体" w:eastAsia="黑体" w:cs="仿宋_GB2312"/>
          <w:sz w:val="32"/>
          <w:szCs w:val="32"/>
        </w:rPr>
        <w:t>万元，其他交通费用（公务交通补贴）</w:t>
      </w:r>
      <w:r>
        <w:rPr>
          <w:rFonts w:ascii="黑体" w:hAnsi="黑体" w:eastAsia="黑体" w:cs="仿宋_GB2312"/>
          <w:sz w:val="32"/>
          <w:szCs w:val="32"/>
        </w:rPr>
        <w:t>1.82</w:t>
      </w:r>
      <w:r>
        <w:rPr>
          <w:rFonts w:hint="eastAsia" w:ascii="黑体" w:hAnsi="黑体" w:eastAsia="黑体" w:cs="仿宋_GB2312"/>
          <w:sz w:val="32"/>
          <w:szCs w:val="32"/>
        </w:rPr>
        <w:t>万元等。</w:t>
      </w:r>
    </w:p>
    <w:p>
      <w:pPr>
        <w:spacing w:line="500" w:lineRule="exact"/>
        <w:ind w:firstLine="643" w:firstLineChars="200"/>
        <w:rPr>
          <w:rFonts w:ascii="黑体" w:hAnsi="黑体" w:eastAsia="黑体" w:cs="仿宋_GB2312"/>
          <w:b/>
          <w:sz w:val="32"/>
          <w:szCs w:val="32"/>
        </w:rPr>
      </w:pPr>
      <w:r>
        <w:rPr>
          <w:rFonts w:hint="eastAsia" w:ascii="黑体" w:hAnsi="黑体" w:eastAsia="黑体" w:cs="仿宋_GB2312"/>
          <w:b/>
          <w:sz w:val="32"/>
          <w:szCs w:val="32"/>
        </w:rPr>
        <w:t>（二）关于政府采购支出说明：</w:t>
      </w:r>
    </w:p>
    <w:p>
      <w:p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政府采购安排为零。</w:t>
      </w:r>
    </w:p>
    <w:p>
      <w:pPr>
        <w:spacing w:line="580" w:lineRule="exact"/>
        <w:ind w:firstLine="602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b/>
          <w:bCs/>
          <w:sz w:val="32"/>
          <w:szCs w:val="32"/>
        </w:rPr>
        <w:t>（三）国有资产占有使用情况</w:t>
      </w:r>
      <w:r>
        <w:rPr>
          <w:rFonts w:hint="eastAsia" w:ascii="黑体" w:hAnsi="黑体" w:eastAsia="黑体" w:cs="仿宋_GB2312"/>
          <w:sz w:val="32"/>
          <w:szCs w:val="32"/>
        </w:rPr>
        <w:t>：截至</w:t>
      </w:r>
      <w:r>
        <w:rPr>
          <w:rFonts w:ascii="黑体" w:hAnsi="黑体" w:eastAsia="黑体" w:cs="仿宋_GB2312"/>
          <w:sz w:val="32"/>
          <w:szCs w:val="32"/>
        </w:rPr>
        <w:t>2015</w:t>
      </w:r>
      <w:r>
        <w:rPr>
          <w:rFonts w:hint="eastAsia" w:ascii="黑体" w:hAnsi="黑体" w:eastAsia="黑体" w:cs="仿宋_GB2312"/>
          <w:sz w:val="32"/>
          <w:szCs w:val="32"/>
        </w:rPr>
        <w:t>年</w:t>
      </w:r>
      <w:r>
        <w:rPr>
          <w:rFonts w:ascii="黑体" w:hAnsi="黑体" w:eastAsia="黑体" w:cs="仿宋_GB2312"/>
          <w:sz w:val="32"/>
          <w:szCs w:val="32"/>
        </w:rPr>
        <w:t>12</w:t>
      </w:r>
      <w:r>
        <w:rPr>
          <w:rFonts w:hint="eastAsia" w:ascii="黑体" w:hAnsi="黑体" w:eastAsia="黑体" w:cs="仿宋_GB2312"/>
          <w:sz w:val="32"/>
          <w:szCs w:val="32"/>
        </w:rPr>
        <w:t>月</w:t>
      </w:r>
      <w:r>
        <w:rPr>
          <w:rFonts w:ascii="黑体" w:hAnsi="黑体" w:eastAsia="黑体" w:cs="仿宋_GB2312"/>
          <w:sz w:val="32"/>
          <w:szCs w:val="32"/>
        </w:rPr>
        <w:t>31</w:t>
      </w:r>
      <w:r>
        <w:rPr>
          <w:rFonts w:hint="eastAsia" w:ascii="黑体" w:hAnsi="黑体" w:eastAsia="黑体" w:cs="仿宋_GB2312"/>
          <w:sz w:val="32"/>
          <w:szCs w:val="32"/>
        </w:rPr>
        <w:t>日，本部门国有资产总额为4.62万元。本部门共有车辆0辆，全部均为一般公务用车，由于公务用车改革，使用管理权均为区机关事务局所有；单位价值</w:t>
      </w:r>
      <w:r>
        <w:rPr>
          <w:rFonts w:ascii="黑体" w:hAnsi="黑体" w:eastAsia="黑体" w:cs="仿宋_GB2312"/>
          <w:sz w:val="32"/>
          <w:szCs w:val="32"/>
        </w:rPr>
        <w:t>20</w:t>
      </w:r>
      <w:r>
        <w:rPr>
          <w:rFonts w:hint="eastAsia" w:ascii="黑体" w:hAnsi="黑体" w:eastAsia="黑体" w:cs="仿宋_GB2312"/>
          <w:sz w:val="32"/>
          <w:szCs w:val="32"/>
        </w:rPr>
        <w:t>万元以上大型设备</w:t>
      </w:r>
      <w:r>
        <w:rPr>
          <w:rFonts w:ascii="黑体" w:hAnsi="黑体" w:eastAsia="黑体" w:cs="仿宋_GB2312"/>
          <w:sz w:val="32"/>
          <w:szCs w:val="32"/>
        </w:rPr>
        <w:t>0</w:t>
      </w:r>
      <w:r>
        <w:rPr>
          <w:rFonts w:hint="eastAsia" w:ascii="黑体" w:hAnsi="黑体" w:eastAsia="黑体" w:cs="仿宋_GB2312"/>
          <w:sz w:val="32"/>
          <w:szCs w:val="32"/>
        </w:rPr>
        <w:t>台（套）。</w:t>
      </w:r>
    </w:p>
    <w:p>
      <w:pPr>
        <w:spacing w:line="500" w:lineRule="exact"/>
        <w:ind w:firstLine="643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b/>
          <w:bCs/>
          <w:sz w:val="32"/>
          <w:szCs w:val="32"/>
        </w:rPr>
        <w:t>（四）重点项目预算绩效目标设置情况</w:t>
      </w:r>
      <w:r>
        <w:rPr>
          <w:rFonts w:hint="eastAsia" w:ascii="黑体" w:hAnsi="黑体" w:eastAsia="黑体" w:cs="仿宋_GB2312"/>
          <w:sz w:val="32"/>
          <w:szCs w:val="32"/>
        </w:rPr>
        <w:t>：无</w:t>
      </w:r>
    </w:p>
    <w:p>
      <w:pPr>
        <w:widowControl/>
        <w:shd w:val="clear" w:color="auto" w:fill="FFFFFF"/>
        <w:spacing w:line="500" w:lineRule="atLeast"/>
        <w:ind w:firstLine="630"/>
        <w:rPr>
          <w:rFonts w:ascii="黑体" w:hAnsi="黑体" w:eastAsia="黑体" w:cs="仿宋_GB2312"/>
          <w:color w:val="000000"/>
          <w:sz w:val="32"/>
          <w:szCs w:val="32"/>
        </w:rPr>
      </w:pPr>
      <w:r>
        <w:rPr>
          <w:rFonts w:hint="eastAsia" w:ascii="黑体" w:hAnsi="黑体" w:eastAsia="黑体" w:cs="仿宋_GB2312"/>
          <w:b/>
          <w:bCs/>
          <w:color w:val="000000"/>
          <w:kern w:val="0"/>
          <w:sz w:val="32"/>
          <w:szCs w:val="32"/>
          <w:shd w:val="clear" w:color="auto" w:fill="FFFFFF"/>
        </w:rPr>
        <w:t>（五）专业性较强的名词解释：</w:t>
      </w:r>
      <w:r>
        <w:rPr>
          <w:rFonts w:hint="eastAsia" w:ascii="黑体" w:hAnsi="黑体" w:eastAsia="黑体" w:cs="仿宋_GB2312"/>
          <w:color w:val="000000"/>
          <w:kern w:val="0"/>
          <w:sz w:val="32"/>
          <w:szCs w:val="32"/>
          <w:shd w:val="clear" w:color="auto" w:fill="FFFFFF"/>
        </w:rPr>
        <w:t>无。</w:t>
      </w:r>
    </w:p>
    <w:p>
      <w:pPr>
        <w:spacing w:line="500" w:lineRule="exact"/>
        <w:rPr>
          <w:rFonts w:ascii="黑体" w:hAnsi="黑体" w:eastAsia="黑体" w:cs="仿宋_GB2312"/>
          <w:sz w:val="32"/>
          <w:szCs w:val="32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B0DB23"/>
    <w:multiLevelType w:val="singleLevel"/>
    <w:tmpl w:val="5AB0DB23"/>
    <w:lvl w:ilvl="0" w:tentative="0">
      <w:start w:val="1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714F0"/>
    <w:rsid w:val="0002421E"/>
    <w:rsid w:val="0004225E"/>
    <w:rsid w:val="000B709C"/>
    <w:rsid w:val="000D1AD5"/>
    <w:rsid w:val="00101364"/>
    <w:rsid w:val="00151F0A"/>
    <w:rsid w:val="0019167A"/>
    <w:rsid w:val="001965E8"/>
    <w:rsid w:val="002064C5"/>
    <w:rsid w:val="00236A06"/>
    <w:rsid w:val="00280BC7"/>
    <w:rsid w:val="002D3FAD"/>
    <w:rsid w:val="002E6A6D"/>
    <w:rsid w:val="002F3309"/>
    <w:rsid w:val="003039DD"/>
    <w:rsid w:val="003164F1"/>
    <w:rsid w:val="003D5742"/>
    <w:rsid w:val="004438BB"/>
    <w:rsid w:val="0048633A"/>
    <w:rsid w:val="00487F8C"/>
    <w:rsid w:val="004956D7"/>
    <w:rsid w:val="004A75E6"/>
    <w:rsid w:val="004D4EFB"/>
    <w:rsid w:val="005F4CEA"/>
    <w:rsid w:val="005F6A73"/>
    <w:rsid w:val="00652461"/>
    <w:rsid w:val="0065390B"/>
    <w:rsid w:val="00691C5E"/>
    <w:rsid w:val="006974DC"/>
    <w:rsid w:val="006C2A44"/>
    <w:rsid w:val="00753CB4"/>
    <w:rsid w:val="0076087A"/>
    <w:rsid w:val="007C0EDA"/>
    <w:rsid w:val="007C3F3F"/>
    <w:rsid w:val="007E2506"/>
    <w:rsid w:val="00805EA0"/>
    <w:rsid w:val="00835A16"/>
    <w:rsid w:val="00863ECF"/>
    <w:rsid w:val="00895A57"/>
    <w:rsid w:val="008A0BA9"/>
    <w:rsid w:val="00941B91"/>
    <w:rsid w:val="009750A6"/>
    <w:rsid w:val="009914C4"/>
    <w:rsid w:val="009A74C9"/>
    <w:rsid w:val="009D25A3"/>
    <w:rsid w:val="009E2937"/>
    <w:rsid w:val="00A52225"/>
    <w:rsid w:val="00A94C88"/>
    <w:rsid w:val="00AB0476"/>
    <w:rsid w:val="00AB1817"/>
    <w:rsid w:val="00B66D2C"/>
    <w:rsid w:val="00BC311F"/>
    <w:rsid w:val="00C1166A"/>
    <w:rsid w:val="00C36840"/>
    <w:rsid w:val="00C52425"/>
    <w:rsid w:val="00C7439B"/>
    <w:rsid w:val="00C91E3C"/>
    <w:rsid w:val="00C93045"/>
    <w:rsid w:val="00C942BE"/>
    <w:rsid w:val="00CB4CA5"/>
    <w:rsid w:val="00CF4F75"/>
    <w:rsid w:val="00D0337E"/>
    <w:rsid w:val="00D714F0"/>
    <w:rsid w:val="00DC1301"/>
    <w:rsid w:val="00E01817"/>
    <w:rsid w:val="00E15A50"/>
    <w:rsid w:val="00E235BE"/>
    <w:rsid w:val="00E55A97"/>
    <w:rsid w:val="00E616F0"/>
    <w:rsid w:val="00E67FCC"/>
    <w:rsid w:val="00EB55E8"/>
    <w:rsid w:val="00ED5DF9"/>
    <w:rsid w:val="00F56510"/>
    <w:rsid w:val="00FA029D"/>
    <w:rsid w:val="01FF58AD"/>
    <w:rsid w:val="07A7375C"/>
    <w:rsid w:val="0C7F7266"/>
    <w:rsid w:val="140D37EA"/>
    <w:rsid w:val="17912F0C"/>
    <w:rsid w:val="1ED47A76"/>
    <w:rsid w:val="1F23417E"/>
    <w:rsid w:val="26BC50DA"/>
    <w:rsid w:val="318D2FEA"/>
    <w:rsid w:val="351340E9"/>
    <w:rsid w:val="39175EE9"/>
    <w:rsid w:val="3AAD67BD"/>
    <w:rsid w:val="3EE76EDE"/>
    <w:rsid w:val="4B5A5F13"/>
    <w:rsid w:val="51B91EF3"/>
    <w:rsid w:val="54C553FD"/>
    <w:rsid w:val="5CAA4FF9"/>
    <w:rsid w:val="5CD425A9"/>
    <w:rsid w:val="60AE5E65"/>
    <w:rsid w:val="6F06301C"/>
    <w:rsid w:val="76B725E4"/>
    <w:rsid w:val="7BEC2F5A"/>
    <w:rsid w:val="7C881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qFormat/>
    <w:uiPriority w:val="99"/>
    <w:rPr>
      <w:rFonts w:cs="Times New Roman"/>
    </w:rPr>
  </w:style>
  <w:style w:type="character" w:customStyle="1" w:styleId="7">
    <w:name w:val="页脚 Char"/>
    <w:basedOn w:val="4"/>
    <w:link w:val="2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4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9">
    <w:name w:val="p0"/>
    <w:basedOn w:val="1"/>
    <w:qFormat/>
    <w:uiPriority w:val="0"/>
    <w:pPr>
      <w:widowControl/>
      <w:ind w:firstLine="420"/>
      <w:jc w:val="left"/>
    </w:pPr>
    <w:rPr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218</Words>
  <Characters>1248</Characters>
  <Lines>10</Lines>
  <Paragraphs>2</Paragraphs>
  <TotalTime>0</TotalTime>
  <ScaleCrop>false</ScaleCrop>
  <LinksUpToDate>false</LinksUpToDate>
  <CharactersWithSpaces>1464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2017-12-06T07:53:00Z</dcterms:created>
  <dc:creator>Administrator</dc:creator>
  <cp:lastModifiedBy>Administrator</cp:lastModifiedBy>
  <cp:lastPrinted>2018-04-09T08:33:00Z</cp:lastPrinted>
  <dcterms:modified xsi:type="dcterms:W3CDTF">2018-04-10T09:33:33Z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