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霞山区纪律检查委员会部门预算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00" w:lineRule="exact"/>
        <w:ind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纪律检查委员会</w:t>
      </w:r>
      <w:r>
        <w:rPr>
          <w:rFonts w:ascii="黑体" w:hAnsi="黑体" w:eastAsia="黑体" w:cs="黑体"/>
          <w:sz w:val="32"/>
          <w:szCs w:val="32"/>
        </w:rPr>
        <w:t xml:space="preserve"> </w:t>
      </w:r>
      <w:r>
        <w:rPr>
          <w:rFonts w:hint="eastAsia" w:ascii="黑体" w:hAnsi="黑体" w:eastAsia="黑体" w:cs="黑体"/>
          <w:sz w:val="32"/>
          <w:szCs w:val="32"/>
        </w:rPr>
        <w:t>部门预算基本情况说明</w:t>
      </w:r>
    </w:p>
    <w:p>
      <w:pPr>
        <w:keepNext w:val="0"/>
        <w:keepLines w:val="0"/>
        <w:pageBreakBefore w:val="0"/>
        <w:numPr>
          <w:ilvl w:val="0"/>
          <w:numId w:val="1"/>
        </w:numPr>
        <w:kinsoku/>
        <w:wordWrap/>
        <w:overflowPunct/>
        <w:topLinePunct w:val="0"/>
        <w:autoSpaceDE/>
        <w:autoSpaceDN/>
        <w:bidi w:val="0"/>
        <w:adjustRightInd/>
        <w:spacing w:line="50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0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0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0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0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0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0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五、其他需要说明的情况</w:t>
      </w:r>
    </w:p>
    <w:p>
      <w:pPr>
        <w:keepNext w:val="0"/>
        <w:keepLines w:val="0"/>
        <w:pageBreakBefore w:val="0"/>
        <w:kinsoku/>
        <w:wordWrap/>
        <w:overflowPunct/>
        <w:topLinePunct w:val="0"/>
        <w:autoSpaceDE/>
        <w:autoSpaceDN/>
        <w:bidi w:val="0"/>
        <w:adjustRightInd/>
        <w:spacing w:line="50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keepNext w:val="0"/>
        <w:keepLines w:val="0"/>
        <w:pageBreakBefore w:val="0"/>
        <w:kinsoku/>
        <w:wordWrap/>
        <w:overflowPunct/>
        <w:topLinePunct w:val="0"/>
        <w:autoSpaceDE/>
        <w:autoSpaceDN/>
        <w:bidi w:val="0"/>
        <w:adjustRightInd/>
        <w:spacing w:line="50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keepNext w:val="0"/>
        <w:keepLines w:val="0"/>
        <w:pageBreakBefore w:val="0"/>
        <w:kinsoku/>
        <w:wordWrap/>
        <w:overflowPunct/>
        <w:topLinePunct w:val="0"/>
        <w:autoSpaceDE/>
        <w:autoSpaceDN/>
        <w:bidi w:val="0"/>
        <w:adjustRightInd/>
        <w:spacing w:line="50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keepNext w:val="0"/>
        <w:keepLines w:val="0"/>
        <w:pageBreakBefore w:val="0"/>
        <w:kinsoku/>
        <w:wordWrap/>
        <w:overflowPunct/>
        <w:topLinePunct w:val="0"/>
        <w:autoSpaceDE/>
        <w:autoSpaceDN/>
        <w:bidi w:val="0"/>
        <w:adjustRightInd/>
        <w:spacing w:line="50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00" w:lineRule="exact"/>
        <w:ind w:left="560" w:leftChars="20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keepNext w:val="0"/>
        <w:keepLines w:val="0"/>
        <w:pageBreakBefore w:val="0"/>
        <w:kinsoku/>
        <w:wordWrap/>
        <w:overflowPunct/>
        <w:topLinePunct w:val="0"/>
        <w:autoSpaceDE/>
        <w:autoSpaceDN/>
        <w:bidi w:val="0"/>
        <w:adjustRightInd/>
        <w:spacing w:line="500" w:lineRule="exact"/>
        <w:ind w:right="0" w:rightChars="0" w:firstLine="640" w:firstLineChars="20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00" w:lineRule="exact"/>
        <w:ind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纪律检查委员会</w:t>
      </w:r>
      <w:r>
        <w:rPr>
          <w:rFonts w:ascii="黑体" w:hAnsi="黑体" w:eastAsia="黑体" w:cs="黑体"/>
          <w:sz w:val="32"/>
          <w:szCs w:val="32"/>
        </w:rPr>
        <w:t xml:space="preserve">  </w:t>
      </w:r>
      <w:r>
        <w:rPr>
          <w:rFonts w:hint="eastAsia" w:ascii="黑体" w:hAnsi="黑体" w:eastAsia="黑体" w:cs="黑体"/>
          <w:sz w:val="32"/>
          <w:szCs w:val="32"/>
        </w:rPr>
        <w:t>部门预算表</w:t>
      </w:r>
    </w:p>
    <w:p>
      <w:pPr>
        <w:pStyle w:val="9"/>
        <w:keepNext w:val="0"/>
        <w:keepLines w:val="0"/>
        <w:pageBreakBefore w:val="0"/>
        <w:kinsoku/>
        <w:wordWrap/>
        <w:overflowPunct/>
        <w:topLinePunct w:val="0"/>
        <w:autoSpaceDE/>
        <w:autoSpaceDN/>
        <w:bidi w:val="0"/>
        <w:adjustRightInd/>
        <w:snapToGrid w:val="0"/>
        <w:spacing w:line="50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0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0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0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0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0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00" w:lineRule="exact"/>
        <w:ind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00" w:lineRule="exact"/>
        <w:ind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hint="eastAsia" w:ascii="宋体"/>
          <w:b/>
          <w:sz w:val="44"/>
          <w:szCs w:val="44"/>
        </w:rPr>
      </w:pP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年霞山区纪律检查委员会</w:t>
      </w:r>
      <w:r>
        <w:rPr>
          <w:rFonts w:hint="eastAsia" w:ascii="宋体" w:hAnsi="宋体"/>
          <w:b/>
          <w:sz w:val="44"/>
          <w:szCs w:val="44"/>
          <w:lang w:eastAsia="zh-CN"/>
        </w:rPr>
        <w:t>部门</w:t>
      </w:r>
      <w:r>
        <w:rPr>
          <w:rFonts w:hint="eastAsia" w:ascii="宋体" w:hAnsi="宋体"/>
          <w:b/>
          <w:sz w:val="44"/>
          <w:szCs w:val="44"/>
        </w:rPr>
        <w:t>预算</w:t>
      </w:r>
      <w:r>
        <w:rPr>
          <w:rFonts w:hint="eastAsia" w:ascii="宋体" w:hAnsi="宋体"/>
          <w:b/>
          <w:sz w:val="44"/>
          <w:szCs w:val="44"/>
          <w:lang w:eastAsia="zh-CN"/>
        </w:rPr>
        <w:t>基本</w:t>
      </w:r>
      <w:r>
        <w:rPr>
          <w:rFonts w:hint="eastAsia" w:ascii="宋体" w:hAnsi="宋体"/>
          <w:b/>
          <w:sz w:val="44"/>
          <w:szCs w:val="44"/>
        </w:rPr>
        <w:t>情况说明</w:t>
      </w:r>
    </w:p>
    <w:p>
      <w:pPr>
        <w:spacing w:line="360" w:lineRule="auto"/>
        <w:jc w:val="center"/>
        <w:rPr>
          <w:rFonts w:ascii="宋体"/>
          <w:b/>
          <w:bCs/>
          <w:sz w:val="36"/>
          <w:szCs w:val="36"/>
        </w:rPr>
      </w:pPr>
    </w:p>
    <w:p>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ind w:firstLine="643" w:firstLineChars="200"/>
        <w:rPr>
          <w:rFonts w:ascii="仿宋_GB2312" w:hAnsi="仿宋_GB2312" w:eastAsia="仿宋_GB2312" w:cs="仿宋_GB2312"/>
          <w:b/>
          <w:sz w:val="32"/>
          <w:szCs w:val="32"/>
        </w:rPr>
      </w:pPr>
      <w:r>
        <w:rPr>
          <w:rFonts w:hint="eastAsia" w:ascii="仿宋_GB2312" w:eastAsia="仿宋_GB2312"/>
          <w:b/>
          <w:sz w:val="32"/>
          <w:szCs w:val="32"/>
        </w:rPr>
        <w:t>（一）</w:t>
      </w:r>
      <w:r>
        <w:rPr>
          <w:rFonts w:hint="eastAsia" w:ascii="仿宋_GB2312" w:hAnsi="仿宋_GB2312" w:eastAsia="仿宋_GB2312" w:cs="仿宋_GB2312"/>
          <w:b/>
          <w:sz w:val="32"/>
          <w:szCs w:val="32"/>
        </w:rPr>
        <w:t>主要职责</w:t>
      </w:r>
    </w:p>
    <w:p>
      <w:pPr>
        <w:ind w:firstLine="600" w:firstLineChars="200"/>
        <w:rPr>
          <w:rFonts w:ascii="仿宋_GB2312" w:eastAsia="仿宋_GB2312"/>
          <w:sz w:val="30"/>
          <w:szCs w:val="30"/>
        </w:rPr>
      </w:pPr>
      <w:r>
        <w:rPr>
          <w:rFonts w:hint="eastAsia" w:ascii="仿宋" w:hAnsi="仿宋" w:eastAsia="仿宋"/>
          <w:sz w:val="30"/>
          <w:szCs w:val="30"/>
        </w:rPr>
        <w:t>区纪委与区监察局合署办公，区监察局列入区政府工作部门序列，不计政府机构个数。在区委和市纪委双重领导下进行工作。（一）贯彻落实中央、省、市、区关于加强党风廉政建设和有关行政监察工作的决定，维护党的章程和其他党内法规，监督检查党的路线、方针、政策和决议的执行情况，监督检查区政府各部门及其工作人员执行国家法律、法规、政策的情况。（二）负责检查并处理区委、区政府各部门以及区属各级党组织和党员领导干部违反党的章程及其他党内法规的案件；受理党员的控告和申诉。负责协调、指导、检查、监督下属纪检监察组织查处比较重要或复杂的案件。（三）负责调查和处理区政府各部门及其工作人员尤其是主要负责人违反国家政策、法律法规以及违反政纪的行为，受理监察对象不服政纪处分的申诉，受理个人或单位对监察对象违纪行为的检举、控告。（四）制定党风党纪政纪教育规划和关于维护党纪的决定，配合有关部门做好纪检、监察工作的方针、政策的宣传教育工作，对党员和国家工作人员进行遵纪守法、廉洁奉公的教育。组织和指导区属纪检、监察系统干部的培训工作。（五）协助区委、区政府做好纪检、监察干部的管理工作；审核区各部门专职、兼职纪检、监察干部人选。协助区委组织部、区人社局和有关部门做好区委、区政府对各部门领导班子成员、领导干部的考核选拔工作。（六）承办市纪委、市监察局和区委、区政府授权和交办的各项任务。</w:t>
      </w:r>
    </w:p>
    <w:p>
      <w:pPr>
        <w:ind w:firstLine="602" w:firstLineChars="200"/>
        <w:rPr>
          <w:rFonts w:ascii="仿宋_GB2312" w:eastAsia="仿宋_GB2312"/>
          <w:b/>
          <w:sz w:val="30"/>
          <w:szCs w:val="30"/>
        </w:rPr>
      </w:pPr>
      <w:r>
        <w:rPr>
          <w:rFonts w:hint="eastAsia" w:ascii="仿宋_GB2312" w:eastAsia="仿宋_GB2312"/>
          <w:b/>
          <w:sz w:val="30"/>
          <w:szCs w:val="30"/>
        </w:rPr>
        <w:t xml:space="preserve"> </w:t>
      </w:r>
      <w:r>
        <w:rPr>
          <w:rFonts w:hint="eastAsia" w:ascii="仿宋_GB2312" w:eastAsia="仿宋_GB2312"/>
          <w:b/>
          <w:sz w:val="32"/>
          <w:szCs w:val="32"/>
        </w:rPr>
        <w:t>（二）</w:t>
      </w:r>
      <w:r>
        <w:rPr>
          <w:rFonts w:hint="eastAsia" w:ascii="仿宋_GB2312" w:eastAsia="仿宋_GB2312"/>
          <w:b/>
          <w:sz w:val="30"/>
          <w:szCs w:val="30"/>
        </w:rPr>
        <w:t>机构设置</w:t>
      </w:r>
    </w:p>
    <w:p>
      <w:pPr>
        <w:ind w:firstLine="602" w:firstLineChars="200"/>
        <w:rPr>
          <w:rFonts w:ascii="仿宋_GB2312" w:eastAsia="仿宋_GB2312"/>
          <w:b/>
          <w:sz w:val="30"/>
          <w:szCs w:val="30"/>
        </w:rPr>
      </w:pPr>
      <w:r>
        <w:rPr>
          <w:rFonts w:hint="eastAsia" w:ascii="仿宋_GB2312" w:eastAsia="仿宋_GB2312"/>
          <w:b/>
          <w:sz w:val="30"/>
          <w:szCs w:val="30"/>
        </w:rPr>
        <w:t>本部门无下属单位，部门预算为本级预算。</w:t>
      </w:r>
    </w:p>
    <w:p>
      <w:pPr>
        <w:ind w:firstLine="600" w:firstLineChars="200"/>
        <w:rPr>
          <w:rFonts w:ascii="宋体"/>
          <w:szCs w:val="28"/>
        </w:rPr>
      </w:pPr>
      <w:r>
        <w:rPr>
          <w:rFonts w:hint="eastAsia" w:ascii="仿宋" w:hAnsi="仿宋" w:eastAsia="仿宋"/>
          <w:sz w:val="30"/>
          <w:szCs w:val="30"/>
        </w:rPr>
        <w:t xml:space="preserve"> 霞山区纪委监察局为正科级编制单位，根据职责，设办公室、宣教调研室、党风政风监督室（区纠风办）、第一纪检监察室、第二纪检监察室、信访室（举报中心）、案件监督管理室、案件审理室、第一纪工委监察分局、第二纪工委监察分局、第三纪工委监察分局。委局包括派驻机构行政编制共28名，工勤编制4名。实有人数29名。其中书记1名（由区委领导兼任、不占单位编制），副书记2名，监察局长1名（由纪委副书记兼任），副局长2名，正副主任10名。退休干部12名</w:t>
      </w:r>
      <w:r>
        <w:rPr>
          <w:rFonts w:hint="eastAsia" w:ascii="宋体" w:hAnsi="宋体"/>
          <w:szCs w:val="28"/>
        </w:rPr>
        <w:t>。</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年收入预算</w:t>
      </w:r>
      <w:r>
        <w:rPr>
          <w:rFonts w:ascii="仿宋_GB2312" w:hAnsi="仿宋_GB2312" w:eastAsia="仿宋_GB2312" w:cs="仿宋_GB2312"/>
          <w:sz w:val="32"/>
          <w:szCs w:val="32"/>
        </w:rPr>
        <w:t>543.99</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108.46</w:t>
      </w:r>
      <w:r>
        <w:rPr>
          <w:rFonts w:hint="eastAsia" w:ascii="仿宋_GB2312" w:hAnsi="仿宋_GB2312" w:eastAsia="仿宋_GB2312" w:cs="仿宋_GB2312"/>
          <w:sz w:val="32"/>
          <w:szCs w:val="32"/>
        </w:rPr>
        <w:t>万元。增长 24.9 %。收入增加的原因的由于工资福利支出和对个人和家庭的补助增加。其中：预算经费安排拨款</w:t>
      </w:r>
      <w:r>
        <w:rPr>
          <w:rFonts w:ascii="仿宋_GB2312" w:hAnsi="仿宋_GB2312" w:eastAsia="仿宋_GB2312" w:cs="仿宋_GB2312"/>
          <w:sz w:val="32"/>
          <w:szCs w:val="32"/>
        </w:rPr>
        <w:t>543.99</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543.99</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108.46</w:t>
      </w:r>
      <w:r>
        <w:rPr>
          <w:rFonts w:hint="eastAsia" w:ascii="仿宋_GB2312" w:hAnsi="仿宋_GB2312" w:eastAsia="仿宋_GB2312" w:cs="仿宋_GB2312"/>
          <w:sz w:val="32"/>
          <w:szCs w:val="32"/>
        </w:rPr>
        <w:t>万元。增长 24.9 %。收入增加的原因的由于工资福利支出和对个人和家庭的补助增加。支出按经济分类划分：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382.63</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250.75</w:t>
      </w:r>
      <w:r>
        <w:rPr>
          <w:rFonts w:hint="eastAsia" w:ascii="仿宋_GB2312" w:hAnsi="仿宋_GB2312" w:eastAsia="仿宋_GB2312" w:cs="仿宋_GB2312"/>
          <w:sz w:val="32"/>
          <w:szCs w:val="32"/>
        </w:rPr>
        <w:t>万元，对个人和家庭的补助支出</w:t>
      </w:r>
      <w:r>
        <w:rPr>
          <w:rFonts w:ascii="仿宋_GB2312" w:hAnsi="仿宋_GB2312" w:eastAsia="仿宋_GB2312" w:cs="仿宋_GB2312"/>
          <w:sz w:val="32"/>
          <w:szCs w:val="32"/>
        </w:rPr>
        <w:t>96.55</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35.33</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161.36</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spacing w:line="500" w:lineRule="exact"/>
        <w:ind w:firstLine="600" w:firstLineChars="200"/>
        <w:rPr>
          <w:rFonts w:hint="eastAsia" w:ascii="仿宋_GB2312" w:hAnsi="Calibri" w:eastAsia="仿宋_GB2312"/>
          <w:sz w:val="30"/>
          <w:szCs w:val="30"/>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2万元，</w:t>
      </w:r>
      <w:r>
        <w:rPr>
          <w:rFonts w:hint="eastAsia" w:ascii="仿宋_GB2312" w:hAnsi="Calibri" w:eastAsia="仿宋_GB2312"/>
          <w:sz w:val="30"/>
          <w:szCs w:val="30"/>
          <w:lang w:eastAsia="zh-CN"/>
        </w:rPr>
        <w:t>与上年保持一致，其中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与上年保持一致</w:t>
      </w:r>
      <w:r>
        <w:rPr>
          <w:rFonts w:hint="eastAsia" w:ascii="仿宋_GB2312" w:hAnsi="Calibri" w:eastAsia="仿宋_GB2312"/>
          <w:sz w:val="30"/>
          <w:szCs w:val="30"/>
        </w:rPr>
        <w:t>。公务用车购置及运行维护费预算安排 2万元，</w:t>
      </w:r>
      <w:r>
        <w:rPr>
          <w:rFonts w:hint="eastAsia" w:ascii="仿宋_GB2312" w:hAnsi="Calibri" w:eastAsia="仿宋_GB2312"/>
          <w:sz w:val="30"/>
          <w:szCs w:val="30"/>
          <w:lang w:eastAsia="zh-CN"/>
        </w:rPr>
        <w:t>与上年保持一致</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eastAsia="zh-CN"/>
        </w:rPr>
        <w:t>，与上年保持一致</w:t>
      </w:r>
      <w:r>
        <w:rPr>
          <w:rFonts w:hint="eastAsia" w:ascii="仿宋_GB2312" w:hAnsi="Calibri" w:eastAsia="仿宋_GB2312"/>
          <w:sz w:val="30"/>
          <w:szCs w:val="30"/>
        </w:rPr>
        <w:t>。</w:t>
      </w:r>
    </w:p>
    <w:p>
      <w:pPr>
        <w:spacing w:line="500" w:lineRule="exact"/>
        <w:ind w:firstLine="643" w:firstLineChars="200"/>
        <w:rPr>
          <w:rFonts w:ascii="宋体"/>
          <w:b/>
          <w:sz w:val="32"/>
          <w:szCs w:val="32"/>
        </w:rPr>
      </w:pPr>
      <w:r>
        <w:rPr>
          <w:rFonts w:hint="eastAsia" w:ascii="宋体"/>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年“机关运行经费”支出</w:t>
      </w:r>
      <w:r>
        <w:rPr>
          <w:rFonts w:ascii="仿宋_GB2312" w:hAnsi="仿宋_GB2312" w:eastAsia="仿宋_GB2312" w:cs="仿宋_GB2312"/>
          <w:sz w:val="32"/>
          <w:szCs w:val="32"/>
        </w:rPr>
        <w:t>35.33</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14.58</w:t>
      </w:r>
      <w:r>
        <w:rPr>
          <w:rFonts w:hint="eastAsia" w:ascii="仿宋_GB2312" w:hAnsi="仿宋_GB2312" w:eastAsia="仿宋_GB2312" w:cs="仿宋_GB2312"/>
          <w:sz w:val="32"/>
          <w:szCs w:val="32"/>
        </w:rPr>
        <w:t>万元，支出增加的主要原因</w:t>
      </w:r>
      <w:r>
        <w:rPr>
          <w:rFonts w:hint="eastAsia" w:ascii="仿宋_GB2312" w:hAnsi="仿宋_GB2312" w:eastAsia="仿宋_GB2312" w:cs="仿宋_GB2312"/>
          <w:sz w:val="32"/>
          <w:szCs w:val="32"/>
          <w:lang w:eastAsia="zh-CN"/>
        </w:rPr>
        <w:t>是</w:t>
      </w:r>
      <w:r>
        <w:rPr>
          <w:rFonts w:hint="eastAsia" w:ascii="仿宋_GB2312" w:hAnsi="仿宋_GB2312" w:eastAsia="仿宋_GB2312" w:cs="仿宋_GB2312"/>
          <w:sz w:val="32"/>
          <w:szCs w:val="32"/>
        </w:rPr>
        <w:t>其他交通费用增加。</w:t>
      </w:r>
      <w:r>
        <w:rPr>
          <w:rFonts w:hint="eastAsia" w:ascii="仿宋_GB2312" w:hAnsi="仿宋_GB2312" w:eastAsia="仿宋_GB2312" w:cs="仿宋_GB2312"/>
          <w:sz w:val="32"/>
          <w:szCs w:val="32"/>
          <w:lang w:eastAsia="zh-CN"/>
        </w:rPr>
        <w:t>其中：办公费</w:t>
      </w:r>
      <w:r>
        <w:rPr>
          <w:rFonts w:hint="eastAsia" w:ascii="仿宋_GB2312" w:hAnsi="仿宋_GB2312" w:eastAsia="仿宋_GB2312" w:cs="仿宋_GB2312"/>
          <w:sz w:val="32"/>
          <w:szCs w:val="32"/>
          <w:lang w:val="en-US" w:eastAsia="zh-CN"/>
        </w:rPr>
        <w:t>10.15</w:t>
      </w:r>
      <w:bookmarkStart w:id="0" w:name="_GoBack"/>
      <w:bookmarkEnd w:id="0"/>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val="en-US" w:eastAsia="zh-CN"/>
        </w:rPr>
        <w:t>19.18万元,公务用车运行维护费6万元</w:t>
      </w:r>
      <w:r>
        <w:rPr>
          <w:rFonts w:hint="eastAsia" w:ascii="仿宋_GB2312" w:hAnsi="仿宋_GB2312" w:eastAsia="仿宋_GB2312" w:cs="仿宋_GB2312"/>
          <w:sz w:val="32"/>
          <w:szCs w:val="32"/>
        </w:rPr>
        <w:t>。</w:t>
      </w:r>
    </w:p>
    <w:p>
      <w:pPr>
        <w:spacing w:line="500" w:lineRule="exact"/>
        <w:ind w:firstLine="643" w:firstLineChars="200"/>
        <w:rPr>
          <w:rFonts w:ascii="仿宋_GB2312" w:hAnsi="仿宋_GB2312" w:eastAsia="仿宋_GB2312" w:cs="仿宋_GB2312"/>
          <w:b/>
          <w:sz w:val="32"/>
          <w:szCs w:val="32"/>
        </w:rPr>
      </w:pPr>
      <w:r>
        <w:rPr>
          <w:rFonts w:hint="eastAsia" w:ascii="仿宋_GB2312" w:eastAsia="仿宋_GB2312"/>
          <w:b/>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eastAsia="仿宋_GB2312"/>
          <w:b/>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w:t>
      </w:r>
      <w:r>
        <w:rPr>
          <w:rFonts w:ascii="仿宋_GB2312" w:hAnsi="仿宋_GB2312" w:eastAsia="仿宋_GB2312" w:cs="仿宋_GB2312"/>
          <w:sz w:val="32"/>
          <w:szCs w:val="32"/>
        </w:rPr>
        <w:t>170</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万元。本部门共有车辆5辆，全部均为一般公务用车，由于公务用车改革，使用管理权均为区机关事务局所有；单位价值20万元以上大型设备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43" w:firstLineChars="200"/>
        <w:rPr>
          <w:rFonts w:ascii="仿宋_GB2312" w:hAnsi="仿宋_GB2312" w:eastAsia="仿宋_GB2312" w:cs="仿宋_GB2312"/>
          <w:sz w:val="32"/>
          <w:szCs w:val="32"/>
        </w:rPr>
      </w:pPr>
      <w:r>
        <w:rPr>
          <w:rFonts w:hint="eastAsia" w:ascii="仿宋_GB2312" w:eastAsia="仿宋_GB2312"/>
          <w:b/>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eastAsia="仿宋_GB2312"/>
          <w:b/>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A14D1"/>
    <w:rsid w:val="000D1AD5"/>
    <w:rsid w:val="00101364"/>
    <w:rsid w:val="0019167A"/>
    <w:rsid w:val="00236A06"/>
    <w:rsid w:val="00262CA6"/>
    <w:rsid w:val="00280BC7"/>
    <w:rsid w:val="002E6A6D"/>
    <w:rsid w:val="003039DD"/>
    <w:rsid w:val="003164F1"/>
    <w:rsid w:val="003D5742"/>
    <w:rsid w:val="004070C3"/>
    <w:rsid w:val="00482868"/>
    <w:rsid w:val="0048633A"/>
    <w:rsid w:val="004956D7"/>
    <w:rsid w:val="004D4EFB"/>
    <w:rsid w:val="0050632F"/>
    <w:rsid w:val="005A06F6"/>
    <w:rsid w:val="005F4CEA"/>
    <w:rsid w:val="0065390B"/>
    <w:rsid w:val="00691C5E"/>
    <w:rsid w:val="006974DC"/>
    <w:rsid w:val="006C2A44"/>
    <w:rsid w:val="00740BC6"/>
    <w:rsid w:val="00753CB4"/>
    <w:rsid w:val="0076087A"/>
    <w:rsid w:val="007C0EDA"/>
    <w:rsid w:val="007C3F3F"/>
    <w:rsid w:val="007E2506"/>
    <w:rsid w:val="00805EA0"/>
    <w:rsid w:val="00835A16"/>
    <w:rsid w:val="00863ECF"/>
    <w:rsid w:val="00895A57"/>
    <w:rsid w:val="008A0BA9"/>
    <w:rsid w:val="00941B91"/>
    <w:rsid w:val="009750A6"/>
    <w:rsid w:val="009914C4"/>
    <w:rsid w:val="009A74C9"/>
    <w:rsid w:val="00A05447"/>
    <w:rsid w:val="00A52225"/>
    <w:rsid w:val="00A94C88"/>
    <w:rsid w:val="00AA5A52"/>
    <w:rsid w:val="00AB0476"/>
    <w:rsid w:val="00AB1817"/>
    <w:rsid w:val="00B60910"/>
    <w:rsid w:val="00B66D2C"/>
    <w:rsid w:val="00B83D48"/>
    <w:rsid w:val="00C36840"/>
    <w:rsid w:val="00C7439B"/>
    <w:rsid w:val="00C93045"/>
    <w:rsid w:val="00C942BE"/>
    <w:rsid w:val="00CB4CA5"/>
    <w:rsid w:val="00CB5A35"/>
    <w:rsid w:val="00CF4F75"/>
    <w:rsid w:val="00D05DF3"/>
    <w:rsid w:val="00D26EC9"/>
    <w:rsid w:val="00D714F0"/>
    <w:rsid w:val="00DB55AD"/>
    <w:rsid w:val="00DC1301"/>
    <w:rsid w:val="00DF7912"/>
    <w:rsid w:val="00E01817"/>
    <w:rsid w:val="00E15A50"/>
    <w:rsid w:val="00E235BE"/>
    <w:rsid w:val="00E43D67"/>
    <w:rsid w:val="00E616F0"/>
    <w:rsid w:val="00E67FCC"/>
    <w:rsid w:val="00ED5DF9"/>
    <w:rsid w:val="00F56510"/>
    <w:rsid w:val="00F76FD1"/>
    <w:rsid w:val="00FA029D"/>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64D640B"/>
    <w:rsid w:val="6F06301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310</Words>
  <Characters>1773</Characters>
  <Lines>14</Lines>
  <Paragraphs>4</Paragraphs>
  <TotalTime>0</TotalTime>
  <ScaleCrop>false</ScaleCrop>
  <LinksUpToDate>false</LinksUpToDate>
  <CharactersWithSpaces>2079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2017-12-06T07:53:00Z</dcterms:created>
  <dc:creator>Administrator</dc:creator>
  <cp:lastModifiedBy>Administrator</cp:lastModifiedBy>
  <dcterms:modified xsi:type="dcterms:W3CDTF">2018-04-11T08:18:30Z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