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ascii="黑体" w:hAnsi="黑体" w:eastAsia="黑体" w:cs="方正小标宋简体"/>
          <w:sz w:val="84"/>
          <w:szCs w:val="84"/>
        </w:rPr>
        <w:t>2016</w:t>
      </w:r>
      <w:r>
        <w:rPr>
          <w:rFonts w:hint="eastAsia" w:ascii="黑体" w:hAnsi="黑体" w:eastAsia="黑体" w:cs="方正小标宋简体"/>
          <w:sz w:val="84"/>
          <w:szCs w:val="84"/>
        </w:rPr>
        <w:t>年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霞山区政府采购中心</w:t>
      </w:r>
      <w:r>
        <w:rPr>
          <w:rFonts w:ascii="黑体" w:hAnsi="黑体" w:eastAsia="黑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黑体" w:hAnsi="黑体" w:eastAsia="黑体" w:cs="方正小标宋简体"/>
          <w:sz w:val="84"/>
          <w:szCs w:val="84"/>
        </w:rPr>
      </w:pPr>
      <w:r>
        <w:rPr>
          <w:rFonts w:hint="eastAsia" w:ascii="黑体" w:hAnsi="黑体" w:eastAsia="黑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方正小标宋简体"/>
          <w:sz w:val="44"/>
          <w:szCs w:val="44"/>
        </w:rPr>
      </w:pPr>
    </w:p>
    <w:p>
      <w:pPr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方正小标宋简体"/>
          <w:sz w:val="44"/>
          <w:szCs w:val="44"/>
        </w:rPr>
        <w:t>目</w:t>
      </w:r>
      <w:r>
        <w:rPr>
          <w:rFonts w:ascii="黑体" w:hAnsi="黑体" w:eastAsia="黑体" w:cs="方正小标宋简体"/>
          <w:sz w:val="44"/>
          <w:szCs w:val="44"/>
        </w:rPr>
        <w:t xml:space="preserve"> </w:t>
      </w:r>
      <w:r>
        <w:rPr>
          <w:rFonts w:hint="eastAsia" w:ascii="黑体" w:hAnsi="黑体" w:eastAsia="黑体" w:cs="方正小标宋简体"/>
          <w:sz w:val="44"/>
          <w:szCs w:val="44"/>
        </w:rPr>
        <w:t>录</w:t>
      </w: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政府采购中心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numPr>
          <w:ilvl w:val="0"/>
          <w:numId w:val="1"/>
        </w:num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（二）机构设置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三公</w:t>
      </w:r>
      <w:r>
        <w:rPr>
          <w:rFonts w:ascii="黑体" w:hAnsi="黑体" w:eastAsia="黑体" w:cs="仿宋_GB2312"/>
          <w:sz w:val="32"/>
          <w:szCs w:val="32"/>
        </w:rPr>
        <w:t>"</w:t>
      </w:r>
      <w:r>
        <w:rPr>
          <w:rFonts w:hint="eastAsia" w:ascii="黑体" w:hAnsi="黑体" w:eastAsia="黑体" w:cs="仿宋_GB2312"/>
          <w:sz w:val="32"/>
          <w:szCs w:val="32"/>
        </w:rPr>
        <w:t>经费说明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五、其他需要说明的情况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（一）机关运行经费情况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</w:t>
      </w:r>
      <w:r>
        <w:rPr>
          <w:rFonts w:hint="eastAsia" w:ascii="黑体" w:hAnsi="黑体" w:eastAsia="黑体" w:cs="仿宋_GB2312"/>
          <w:sz w:val="32"/>
          <w:szCs w:val="32"/>
        </w:rPr>
        <w:t>（二）政府采购安排情况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（三）国有资产占有使用情况</w:t>
      </w:r>
    </w:p>
    <w:p>
      <w:pPr>
        <w:spacing w:line="500" w:lineRule="exact"/>
        <w:ind w:firstLine="480" w:firstLineChars="15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（四）重点项目预算绩效目标设置情况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（五）专业名词解释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</w:p>
    <w:p>
      <w:pPr>
        <w:spacing w:line="5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政府采购中心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年财政拨款收支总表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年一般公共预算基本支出表（部门经济分类）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四、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年一般公共预算“三公”经费支出表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年政府性基金预算支出表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年部门收支总表</w:t>
      </w:r>
    </w:p>
    <w:p>
      <w:pPr>
        <w:pStyle w:val="10"/>
        <w:snapToGrid w:val="0"/>
        <w:spacing w:line="500" w:lineRule="exact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七、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年部门收入表</w:t>
      </w:r>
    </w:p>
    <w:p>
      <w:pPr>
        <w:widowControl/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八、</w:t>
      </w: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2016</w:t>
      </w:r>
      <w:r>
        <w:rPr>
          <w:rFonts w:hint="eastAsia" w:ascii="黑体" w:hAnsi="黑体" w:eastAsia="黑体"/>
          <w:b/>
          <w:sz w:val="44"/>
          <w:szCs w:val="44"/>
        </w:rPr>
        <w:t>年霞山区政府采购中心部门预算基本情况说明</w:t>
      </w:r>
    </w:p>
    <w:p>
      <w:pPr>
        <w:spacing w:line="360" w:lineRule="auto"/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（一）主要职责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</w:t>
      </w:r>
      <w:r>
        <w:rPr>
          <w:rFonts w:hint="eastAsia" w:ascii="仿宋_GB2312" w:eastAsia="仿宋_GB2312"/>
          <w:kern w:val="10"/>
          <w:sz w:val="30"/>
          <w:szCs w:val="30"/>
        </w:rPr>
        <w:t>贯彻落实中共、省、市、县有关政府采购政策法规和相关规定，按照《中华人民共和国政府采购法》组织实施采购活动。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（2）遵循公开、公平、公正和有效竞争的原则，严格按规定程序进行政府采购活动，杜绝违规、违纪等暗箱操作，防止腐败现象的发生。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（3）组织和实施招投标全过程；发布招标公告；审查投标人资格；组织实施招投标工作；公示中标结果。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（4）建立健全完整、系统的政府采购档案，同时定期发布或通告有关政府采购信息。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kern w:val="10"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（5）遵照年度政府采购目录及政府采购计划，按要求优质、高效完成各项政府采购任务。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kern w:val="10"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另外，我中心从2015年6月起还承担区农村集体资产资源交易中心的工作职责：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kern w:val="10"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（1）提供农村集体资产资源交易所需的平台。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kern w:val="10"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（2）提供集体资产资源交易过程所涉及的各类业务指导。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kern w:val="10"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（3）为建立和完善农村集体资产资源台账提供平台。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（4）依照区相关办法组织交易活动。</w:t>
      </w:r>
    </w:p>
    <w:p>
      <w:pPr>
        <w:widowControl/>
        <w:spacing w:line="450" w:lineRule="atLeast"/>
        <w:ind w:firstLine="56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10"/>
        <w:snapToGrid w:val="0"/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（二）机构设置</w:t>
      </w:r>
    </w:p>
    <w:p>
      <w:pPr>
        <w:spacing w:line="360" w:lineRule="auto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本部门无下属单位，部门预算为本级预算。</w:t>
      </w: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kern w:val="10"/>
          <w:sz w:val="30"/>
          <w:szCs w:val="30"/>
        </w:rPr>
        <w:t>霞山区政府采购中心为霞山区政府管理的副科级事业单位，</w:t>
      </w:r>
      <w:r>
        <w:rPr>
          <w:rFonts w:hint="eastAsia" w:ascii="仿宋_GB2312" w:hAnsi="宋体" w:eastAsia="仿宋_GB2312"/>
          <w:sz w:val="30"/>
          <w:szCs w:val="30"/>
        </w:rPr>
        <w:t>现单位人员编制数为4人</w:t>
      </w:r>
      <w:r>
        <w:rPr>
          <w:rFonts w:hint="eastAsia" w:ascii="仿宋_GB2312" w:eastAsia="仿宋_GB2312"/>
          <w:sz w:val="30"/>
          <w:szCs w:val="30"/>
        </w:rPr>
        <w:t>。</w:t>
      </w:r>
      <w:r>
        <w:rPr>
          <w:rFonts w:hint="eastAsia" w:ascii="仿宋_GB2312" w:hAnsi="宋体" w:eastAsia="仿宋_GB2312"/>
          <w:sz w:val="30"/>
          <w:szCs w:val="30"/>
        </w:rPr>
        <w:t>年末</w:t>
      </w:r>
      <w:r>
        <w:rPr>
          <w:rFonts w:hint="eastAsia" w:ascii="仿宋_GB2312" w:eastAsia="仿宋_GB2312"/>
          <w:sz w:val="30"/>
          <w:szCs w:val="30"/>
        </w:rPr>
        <w:t>实有在编人数3人，聘用合同工2人，无离退休人员。</w:t>
      </w:r>
    </w:p>
    <w:p>
      <w:pPr>
        <w:spacing w:line="500" w:lineRule="exact"/>
        <w:ind w:firstLine="643" w:firstLineChars="200"/>
        <w:outlineLvl w:val="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年收入预算</w:t>
      </w:r>
      <w:r>
        <w:rPr>
          <w:rFonts w:ascii="黑体" w:hAnsi="黑体" w:eastAsia="黑体" w:cs="仿宋_GB2312"/>
          <w:sz w:val="32"/>
          <w:szCs w:val="32"/>
        </w:rPr>
        <w:t>48.7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 xml:space="preserve">5.18 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11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9%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。增加的原因的由于工资福利支出和对个人和家庭的补助增加。其中：预算经费安排拨款</w:t>
      </w:r>
      <w:r>
        <w:rPr>
          <w:rFonts w:ascii="黑体" w:hAnsi="黑体" w:eastAsia="黑体" w:cs="仿宋_GB2312"/>
          <w:sz w:val="32"/>
          <w:szCs w:val="32"/>
        </w:rPr>
        <w:t>48.7</w:t>
      </w:r>
      <w:r>
        <w:rPr>
          <w:rFonts w:hint="eastAsia" w:ascii="黑体" w:hAnsi="黑体" w:eastAsia="黑体" w:cs="仿宋_GB2312"/>
          <w:sz w:val="32"/>
          <w:szCs w:val="32"/>
        </w:rPr>
        <w:t>万元，其他非税收入安排拨款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年支出预算</w:t>
      </w:r>
      <w:r>
        <w:rPr>
          <w:rFonts w:ascii="黑体" w:hAnsi="黑体" w:eastAsia="黑体" w:cs="仿宋_GB2312"/>
          <w:sz w:val="32"/>
          <w:szCs w:val="32"/>
        </w:rPr>
        <w:t>48.7</w:t>
      </w:r>
      <w:r>
        <w:rPr>
          <w:rFonts w:hint="eastAsia" w:ascii="黑体" w:hAnsi="黑体" w:eastAsia="黑体" w:cs="仿宋_GB2312"/>
          <w:sz w:val="32"/>
          <w:szCs w:val="32"/>
        </w:rPr>
        <w:t>万元，同比增加</w:t>
      </w:r>
      <w:r>
        <w:rPr>
          <w:rFonts w:ascii="黑体" w:hAnsi="黑体" w:eastAsia="黑体" w:cs="仿宋_GB2312"/>
          <w:sz w:val="32"/>
          <w:szCs w:val="32"/>
        </w:rPr>
        <w:t>5.18</w:t>
      </w:r>
      <w:r>
        <w:rPr>
          <w:rFonts w:hint="eastAsia" w:ascii="黑体" w:hAnsi="黑体" w:eastAsia="黑体" w:cs="仿宋_GB2312"/>
          <w:sz w:val="32"/>
          <w:szCs w:val="32"/>
        </w:rPr>
        <w:t>万元</w:t>
      </w:r>
      <w:r>
        <w:rPr>
          <w:rFonts w:ascii="黑体" w:hAnsi="黑体" w:eastAsia="黑体" w:cs="仿宋_GB2312"/>
          <w:sz w:val="32"/>
          <w:szCs w:val="32"/>
        </w:rPr>
        <w:t>,</w:t>
      </w:r>
      <w:r>
        <w:rPr>
          <w:rFonts w:hint="eastAsia" w:ascii="黑体" w:hAnsi="黑体" w:eastAsia="黑体" w:cs="仿宋_GB2312"/>
          <w:sz w:val="32"/>
          <w:szCs w:val="32"/>
        </w:rPr>
        <w:t>增长</w:t>
      </w:r>
      <w:r>
        <w:rPr>
          <w:rFonts w:ascii="黑体" w:hAnsi="黑体" w:eastAsia="黑体" w:cs="仿宋_GB2312"/>
          <w:sz w:val="32"/>
          <w:szCs w:val="32"/>
        </w:rPr>
        <w:t>11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9%</w:t>
      </w:r>
      <w:r>
        <w:rPr>
          <w:rFonts w:hint="eastAsia" w:ascii="黑体" w:hAnsi="黑体" w:eastAsia="黑体" w:cs="仿宋_GB2312"/>
          <w:sz w:val="32"/>
          <w:szCs w:val="32"/>
        </w:rPr>
        <w:t>。增加的原因的由于工资福利支出和对个人和家庭的补助增加。支出按经济分类划分：</w:t>
      </w:r>
      <w:r>
        <w:rPr>
          <w:rFonts w:ascii="黑体" w:hAnsi="黑体" w:eastAsia="黑体" w:cs="仿宋_GB2312"/>
          <w:sz w:val="32"/>
          <w:szCs w:val="32"/>
        </w:rPr>
        <w:t>1</w:t>
      </w:r>
      <w:r>
        <w:rPr>
          <w:rFonts w:hint="eastAsia" w:ascii="黑体" w:hAnsi="黑体" w:eastAsia="黑体" w:cs="仿宋_GB2312"/>
          <w:sz w:val="32"/>
          <w:szCs w:val="32"/>
        </w:rPr>
        <w:t>、基本支出预算</w:t>
      </w:r>
      <w:r>
        <w:rPr>
          <w:rFonts w:ascii="黑体" w:hAnsi="黑体" w:eastAsia="黑体" w:cs="仿宋_GB2312"/>
          <w:sz w:val="32"/>
          <w:szCs w:val="32"/>
        </w:rPr>
        <w:t>24.4</w:t>
      </w:r>
      <w:r>
        <w:rPr>
          <w:rFonts w:hint="eastAsia" w:ascii="黑体" w:hAnsi="黑体" w:eastAsia="黑体" w:cs="仿宋_GB2312"/>
          <w:sz w:val="32"/>
          <w:szCs w:val="32"/>
        </w:rPr>
        <w:t>万元，其中：工资福利支出</w:t>
      </w:r>
      <w:r>
        <w:rPr>
          <w:rFonts w:ascii="黑体" w:hAnsi="黑体" w:eastAsia="黑体" w:cs="仿宋_GB2312"/>
          <w:sz w:val="32"/>
          <w:szCs w:val="32"/>
        </w:rPr>
        <w:t>19.91</w:t>
      </w:r>
      <w:r>
        <w:rPr>
          <w:rFonts w:hint="eastAsia" w:ascii="黑体" w:hAnsi="黑体" w:eastAsia="黑体" w:cs="仿宋_GB2312"/>
          <w:sz w:val="32"/>
          <w:szCs w:val="32"/>
        </w:rPr>
        <w:t>万元，</w:t>
      </w:r>
      <w:r>
        <w:rPr>
          <w:rFonts w:ascii="黑体" w:hAnsi="黑体" w:eastAsia="黑体" w:cs="仿宋_GB2312"/>
          <w:sz w:val="32"/>
          <w:szCs w:val="32"/>
        </w:rPr>
        <w:t xml:space="preserve">  </w:t>
      </w:r>
      <w:r>
        <w:rPr>
          <w:rFonts w:hint="eastAsia" w:ascii="黑体" w:hAnsi="黑体" w:eastAsia="黑体" w:cs="仿宋_GB2312"/>
          <w:sz w:val="32"/>
          <w:szCs w:val="32"/>
        </w:rPr>
        <w:t>对个人和家庭的补助支出</w:t>
      </w:r>
      <w:r>
        <w:rPr>
          <w:rFonts w:ascii="黑体" w:hAnsi="黑体" w:eastAsia="黑体" w:cs="仿宋_GB2312"/>
          <w:sz w:val="32"/>
          <w:szCs w:val="32"/>
        </w:rPr>
        <w:t>2.33</w:t>
      </w:r>
      <w:r>
        <w:rPr>
          <w:rFonts w:hint="eastAsia" w:ascii="黑体" w:hAnsi="黑体" w:eastAsia="黑体" w:cs="仿宋_GB2312"/>
          <w:sz w:val="32"/>
          <w:szCs w:val="32"/>
        </w:rPr>
        <w:t>万元，一般商品和服务支出</w:t>
      </w:r>
      <w:r>
        <w:rPr>
          <w:rFonts w:ascii="黑体" w:hAnsi="黑体" w:eastAsia="黑体" w:cs="仿宋_GB2312"/>
          <w:sz w:val="32"/>
          <w:szCs w:val="32"/>
        </w:rPr>
        <w:t>2.16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  <w:r>
        <w:rPr>
          <w:rFonts w:ascii="黑体" w:hAnsi="黑体" w:eastAsia="黑体" w:cs="仿宋_GB2312"/>
          <w:sz w:val="32"/>
          <w:szCs w:val="32"/>
        </w:rPr>
        <w:t>2</w:t>
      </w:r>
      <w:r>
        <w:rPr>
          <w:rFonts w:hint="eastAsia" w:ascii="黑体" w:hAnsi="黑体" w:eastAsia="黑体" w:cs="仿宋_GB2312"/>
          <w:sz w:val="32"/>
          <w:szCs w:val="32"/>
        </w:rPr>
        <w:t>、项目支出预算</w:t>
      </w:r>
      <w:r>
        <w:rPr>
          <w:rFonts w:ascii="黑体" w:hAnsi="黑体" w:eastAsia="黑体" w:cs="仿宋_GB2312"/>
          <w:sz w:val="32"/>
          <w:szCs w:val="32"/>
        </w:rPr>
        <w:t>24.3</w:t>
      </w:r>
      <w:r>
        <w:rPr>
          <w:rFonts w:hint="eastAsia" w:ascii="黑体" w:hAnsi="黑体" w:eastAsia="黑体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2016</w:t>
      </w:r>
      <w:r>
        <w:rPr>
          <w:rFonts w:hint="eastAsia" w:ascii="黑体" w:hAnsi="黑体" w:eastAsia="黑体"/>
          <w:sz w:val="32"/>
          <w:szCs w:val="32"/>
        </w:rPr>
        <w:t>年“三公经费”预算安排共0万元，与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年持平，</w:t>
      </w:r>
      <w:r>
        <w:rPr>
          <w:rFonts w:hint="eastAsia" w:ascii="黑体" w:hAnsi="黑体" w:eastAsia="黑体"/>
          <w:sz w:val="32"/>
          <w:szCs w:val="32"/>
          <w:lang w:eastAsia="zh-CN"/>
        </w:rPr>
        <w:t>其中</w:t>
      </w:r>
      <w:r>
        <w:rPr>
          <w:rFonts w:hint="eastAsia" w:ascii="黑体" w:hAnsi="黑体" w:eastAsia="黑体"/>
          <w:sz w:val="32"/>
          <w:szCs w:val="32"/>
        </w:rPr>
        <w:t>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1.</w:t>
      </w:r>
      <w:r>
        <w:rPr>
          <w:rFonts w:hint="eastAsia" w:ascii="黑体" w:hAnsi="黑体" w:eastAsia="黑体"/>
          <w:sz w:val="32"/>
          <w:szCs w:val="32"/>
        </w:rPr>
        <w:t>因公出国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（境）费预算安排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公务用车购置及运行维护费预算安排0万元，与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3.</w:t>
      </w:r>
      <w:r>
        <w:rPr>
          <w:rFonts w:hint="eastAsia" w:ascii="黑体" w:hAnsi="黑体" w:eastAsia="黑体"/>
          <w:sz w:val="32"/>
          <w:szCs w:val="32"/>
        </w:rPr>
        <w:t>公务接待费预算安排</w:t>
      </w:r>
      <w:r>
        <w:rPr>
          <w:rFonts w:ascii="黑体" w:hAnsi="黑体" w:eastAsia="黑体"/>
          <w:sz w:val="32"/>
          <w:szCs w:val="32"/>
        </w:rPr>
        <w:t>0</w:t>
      </w:r>
      <w:r>
        <w:rPr>
          <w:rFonts w:hint="eastAsia" w:ascii="黑体" w:hAnsi="黑体" w:eastAsia="黑体"/>
          <w:sz w:val="32"/>
          <w:szCs w:val="32"/>
        </w:rPr>
        <w:t>万元。与</w:t>
      </w:r>
      <w:r>
        <w:rPr>
          <w:rFonts w:ascii="黑体" w:hAnsi="黑体" w:eastAsia="黑体"/>
          <w:sz w:val="32"/>
          <w:szCs w:val="32"/>
        </w:rPr>
        <w:t>2015</w:t>
      </w:r>
      <w:r>
        <w:rPr>
          <w:rFonts w:hint="eastAsia" w:ascii="黑体" w:hAnsi="黑体" w:eastAsia="黑体"/>
          <w:sz w:val="32"/>
          <w:szCs w:val="32"/>
        </w:rPr>
        <w:t>年持平。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>2016</w:t>
      </w:r>
      <w:r>
        <w:rPr>
          <w:rFonts w:hint="eastAsia" w:ascii="黑体" w:hAnsi="黑体" w:eastAsia="黑体" w:cs="仿宋_GB2312"/>
          <w:sz w:val="32"/>
          <w:szCs w:val="32"/>
        </w:rPr>
        <w:t>年“机关运行经费”支出</w:t>
      </w:r>
      <w:r>
        <w:rPr>
          <w:rFonts w:ascii="黑体" w:hAnsi="黑体" w:eastAsia="黑体" w:cs="仿宋_GB2312"/>
          <w:sz w:val="32"/>
          <w:szCs w:val="32"/>
        </w:rPr>
        <w:t>2.16</w:t>
      </w:r>
      <w:r>
        <w:rPr>
          <w:rFonts w:hint="eastAsia" w:ascii="黑体" w:hAnsi="黑体" w:eastAsia="黑体" w:cs="仿宋_GB2312"/>
          <w:sz w:val="32"/>
          <w:szCs w:val="32"/>
        </w:rPr>
        <w:t>万元，同比减少</w:t>
      </w:r>
      <w:r>
        <w:rPr>
          <w:rFonts w:ascii="黑体" w:hAnsi="黑体" w:eastAsia="黑体" w:cs="仿宋_GB2312"/>
          <w:sz w:val="32"/>
          <w:szCs w:val="32"/>
        </w:rPr>
        <w:t>1.44</w:t>
      </w:r>
      <w:r>
        <w:rPr>
          <w:rFonts w:hint="eastAsia" w:ascii="黑体" w:hAnsi="黑体" w:eastAsia="黑体" w:cs="仿宋_GB2312"/>
          <w:sz w:val="32"/>
          <w:szCs w:val="32"/>
        </w:rPr>
        <w:t>万元，减少的原因是办公费和其他交通费用（公务交通补贴）减少。其中：办公费</w:t>
      </w:r>
      <w:r>
        <w:rPr>
          <w:rFonts w:ascii="黑体" w:hAnsi="黑体" w:eastAsia="黑体" w:cs="仿宋_GB2312"/>
          <w:sz w:val="32"/>
          <w:szCs w:val="32"/>
        </w:rPr>
        <w:t>1.05</w:t>
      </w:r>
      <w:r>
        <w:rPr>
          <w:rFonts w:hint="eastAsia" w:ascii="黑体" w:hAnsi="黑体" w:eastAsia="黑体" w:cs="仿宋_GB2312"/>
          <w:sz w:val="32"/>
          <w:szCs w:val="32"/>
        </w:rPr>
        <w:t>万元，其他交通费用（公务交通补贴）</w:t>
      </w:r>
      <w:r>
        <w:rPr>
          <w:rFonts w:ascii="黑体" w:hAnsi="黑体" w:eastAsia="黑体" w:cs="仿宋_GB2312"/>
          <w:sz w:val="32"/>
          <w:szCs w:val="32"/>
        </w:rPr>
        <w:t>1.11</w:t>
      </w:r>
      <w:r>
        <w:rPr>
          <w:rFonts w:hint="eastAsia" w:ascii="黑体" w:hAnsi="黑体" w:eastAsia="黑体" w:cs="仿宋_GB2312"/>
          <w:sz w:val="32"/>
          <w:szCs w:val="32"/>
        </w:rPr>
        <w:t>万元，公务用车运行维护费0万元等。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（二）关于政府采购支出说明：</w:t>
      </w:r>
    </w:p>
    <w:p>
      <w:pPr>
        <w:spacing w:line="50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（三）国有资产占有使用情况</w:t>
      </w:r>
      <w:r>
        <w:rPr>
          <w:rFonts w:hint="eastAsia" w:ascii="黑体" w:hAnsi="黑体" w:eastAsia="黑体" w:cs="仿宋_GB2312"/>
          <w:sz w:val="32"/>
          <w:szCs w:val="32"/>
        </w:rPr>
        <w:t>：截至</w:t>
      </w:r>
      <w:r>
        <w:rPr>
          <w:rFonts w:ascii="黑体" w:hAnsi="黑体" w:eastAsia="黑体" w:cs="仿宋_GB2312"/>
          <w:sz w:val="32"/>
          <w:szCs w:val="32"/>
        </w:rPr>
        <w:t>2015</w:t>
      </w:r>
      <w:r>
        <w:rPr>
          <w:rFonts w:hint="eastAsia" w:ascii="黑体" w:hAnsi="黑体" w:eastAsia="黑体" w:cs="仿宋_GB2312"/>
          <w:sz w:val="32"/>
          <w:szCs w:val="32"/>
        </w:rPr>
        <w:t>年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月</w:t>
      </w:r>
      <w:r>
        <w:rPr>
          <w:rFonts w:ascii="黑体" w:hAnsi="黑体" w:eastAsia="黑体" w:cs="仿宋_GB2312"/>
          <w:sz w:val="32"/>
          <w:szCs w:val="32"/>
        </w:rPr>
        <w:t>31</w:t>
      </w:r>
      <w:r>
        <w:rPr>
          <w:rFonts w:hint="eastAsia" w:ascii="黑体" w:hAnsi="黑体" w:eastAsia="黑体" w:cs="仿宋_GB2312"/>
          <w:sz w:val="32"/>
          <w:szCs w:val="32"/>
        </w:rPr>
        <w:t>日，本部门国有资产总额为</w:t>
      </w:r>
      <w:r>
        <w:rPr>
          <w:rFonts w:ascii="黑体" w:hAnsi="黑体" w:eastAsia="黑体" w:cs="仿宋_GB2312"/>
          <w:sz w:val="32"/>
          <w:szCs w:val="32"/>
        </w:rPr>
        <w:t>47</w:t>
      </w:r>
      <w:r>
        <w:rPr>
          <w:rFonts w:hint="eastAsia" w:ascii="黑体" w:hAnsi="黑体" w:eastAsia="黑体" w:cs="仿宋_GB2312"/>
          <w:sz w:val="32"/>
          <w:szCs w:val="32"/>
        </w:rPr>
        <w:t>.</w:t>
      </w:r>
      <w:r>
        <w:rPr>
          <w:rFonts w:ascii="黑体" w:hAnsi="黑体" w:eastAsia="黑体" w:cs="仿宋_GB2312"/>
          <w:sz w:val="32"/>
          <w:szCs w:val="32"/>
        </w:rPr>
        <w:t>12</w:t>
      </w:r>
      <w:r>
        <w:rPr>
          <w:rFonts w:hint="eastAsia" w:ascii="黑体" w:hAnsi="黑体" w:eastAsia="黑体" w:cs="仿宋_GB2312"/>
          <w:sz w:val="32"/>
          <w:szCs w:val="32"/>
        </w:rPr>
        <w:t>万元。本部门共有车辆1辆，全部均为一般公务用车，由于公务用车改革，使用管理权均为区机关事务局所有；单位价值</w:t>
      </w:r>
      <w:r>
        <w:rPr>
          <w:rFonts w:ascii="黑体" w:hAnsi="黑体" w:eastAsia="黑体" w:cs="仿宋_GB2312"/>
          <w:sz w:val="32"/>
          <w:szCs w:val="32"/>
        </w:rPr>
        <w:t>20</w:t>
      </w:r>
      <w:r>
        <w:rPr>
          <w:rFonts w:hint="eastAsia" w:ascii="黑体" w:hAnsi="黑体" w:eastAsia="黑体" w:cs="仿宋_GB2312"/>
          <w:sz w:val="32"/>
          <w:szCs w:val="32"/>
        </w:rPr>
        <w:t>万元以上大型设备</w:t>
      </w:r>
      <w:r>
        <w:rPr>
          <w:rFonts w:ascii="黑体" w:hAnsi="黑体" w:eastAsia="黑体" w:cs="仿宋_GB2312"/>
          <w:sz w:val="32"/>
          <w:szCs w:val="32"/>
        </w:rPr>
        <w:t>0</w:t>
      </w:r>
      <w:r>
        <w:rPr>
          <w:rFonts w:hint="eastAsia" w:ascii="黑体" w:hAnsi="黑体" w:eastAsia="黑体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（四）重点项目预算绩效目标设置情况</w:t>
      </w:r>
      <w:r>
        <w:rPr>
          <w:rFonts w:hint="eastAsia" w:ascii="黑体" w:hAnsi="黑体" w:eastAsia="黑体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黑体" w:hAnsi="黑体" w:eastAsia="黑体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4225E"/>
    <w:rsid w:val="000A07F5"/>
    <w:rsid w:val="000B709C"/>
    <w:rsid w:val="000D1AD5"/>
    <w:rsid w:val="000F0808"/>
    <w:rsid w:val="00101364"/>
    <w:rsid w:val="00151F0A"/>
    <w:rsid w:val="0019167A"/>
    <w:rsid w:val="001965E8"/>
    <w:rsid w:val="00236A06"/>
    <w:rsid w:val="00280BC7"/>
    <w:rsid w:val="002D3FAD"/>
    <w:rsid w:val="002E6A6D"/>
    <w:rsid w:val="003039DD"/>
    <w:rsid w:val="003164F1"/>
    <w:rsid w:val="003628E8"/>
    <w:rsid w:val="003D5742"/>
    <w:rsid w:val="0048633A"/>
    <w:rsid w:val="00487F8C"/>
    <w:rsid w:val="004956D7"/>
    <w:rsid w:val="004A75E6"/>
    <w:rsid w:val="004D4EFB"/>
    <w:rsid w:val="005C5372"/>
    <w:rsid w:val="005F4CEA"/>
    <w:rsid w:val="005F6A73"/>
    <w:rsid w:val="00615716"/>
    <w:rsid w:val="0065390B"/>
    <w:rsid w:val="00691C5E"/>
    <w:rsid w:val="006974DC"/>
    <w:rsid w:val="006C2A44"/>
    <w:rsid w:val="00720DF3"/>
    <w:rsid w:val="00735E32"/>
    <w:rsid w:val="00753CB4"/>
    <w:rsid w:val="0076087A"/>
    <w:rsid w:val="0077544F"/>
    <w:rsid w:val="007C0EDA"/>
    <w:rsid w:val="007C3F3F"/>
    <w:rsid w:val="007E2506"/>
    <w:rsid w:val="007E5344"/>
    <w:rsid w:val="00805EA0"/>
    <w:rsid w:val="00835A16"/>
    <w:rsid w:val="00863ECF"/>
    <w:rsid w:val="00895A57"/>
    <w:rsid w:val="008A0BA9"/>
    <w:rsid w:val="008C70F9"/>
    <w:rsid w:val="00941B91"/>
    <w:rsid w:val="009750A6"/>
    <w:rsid w:val="009914C4"/>
    <w:rsid w:val="009A74C9"/>
    <w:rsid w:val="009D25A3"/>
    <w:rsid w:val="009E2937"/>
    <w:rsid w:val="00A52225"/>
    <w:rsid w:val="00A94C88"/>
    <w:rsid w:val="00AA5B1D"/>
    <w:rsid w:val="00AB0476"/>
    <w:rsid w:val="00AB1817"/>
    <w:rsid w:val="00B37EE3"/>
    <w:rsid w:val="00B66D2C"/>
    <w:rsid w:val="00BC311F"/>
    <w:rsid w:val="00C1166A"/>
    <w:rsid w:val="00C36840"/>
    <w:rsid w:val="00C52425"/>
    <w:rsid w:val="00C7439B"/>
    <w:rsid w:val="00C91E3C"/>
    <w:rsid w:val="00C93045"/>
    <w:rsid w:val="00C942BE"/>
    <w:rsid w:val="00CB4CA5"/>
    <w:rsid w:val="00CF4F75"/>
    <w:rsid w:val="00D714F0"/>
    <w:rsid w:val="00DC1301"/>
    <w:rsid w:val="00DD3C6A"/>
    <w:rsid w:val="00E01817"/>
    <w:rsid w:val="00E15A50"/>
    <w:rsid w:val="00E235BE"/>
    <w:rsid w:val="00E616F0"/>
    <w:rsid w:val="00E66E57"/>
    <w:rsid w:val="00E67FCC"/>
    <w:rsid w:val="00EB55E8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6FB416C0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8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241</Words>
  <Characters>1378</Characters>
  <Lines>11</Lines>
  <Paragraphs>3</Paragraphs>
  <TotalTime>0</TotalTime>
  <ScaleCrop>false</ScaleCrop>
  <LinksUpToDate>false</LinksUpToDate>
  <CharactersWithSpaces>1616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2018-04-10T09:23:10Z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