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ascii="方正小标宋简体" w:hAnsi="方正小标宋简体" w:eastAsia="方正小标宋简体" w:cs="方正小标宋简体"/>
          <w:sz w:val="84"/>
          <w:szCs w:val="84"/>
        </w:rPr>
        <w:t>2016</w:t>
      </w: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年</w:t>
      </w: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霞山区司法局</w:t>
      </w:r>
      <w:r>
        <w:rPr>
          <w:rFonts w:ascii="方正小标宋简体" w:hAnsi="方正小标宋简体" w:eastAsia="方正小标宋简体" w:cs="方正小标宋简体"/>
          <w:sz w:val="84"/>
          <w:szCs w:val="84"/>
        </w:rPr>
        <w:t xml:space="preserve">  </w:t>
      </w: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部门预算</w:t>
      </w: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目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0" w:rightChars="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第一部分</w:t>
      </w:r>
      <w:r>
        <w:rPr>
          <w:rFonts w:ascii="黑体" w:hAnsi="黑体" w:eastAsia="黑体" w:cs="黑体"/>
          <w:sz w:val="32"/>
          <w:szCs w:val="32"/>
        </w:rPr>
        <w:t xml:space="preserve">   2016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ascii="黑体" w:hAnsi="黑体" w:eastAsia="黑体" w:cs="黑体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司法局</w:t>
      </w:r>
      <w:r>
        <w:rPr>
          <w:rFonts w:ascii="黑体" w:hAnsi="黑体" w:eastAsia="黑体" w:cs="黑体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部门预算基本情况说明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部门基本情况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（一）主要职责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（二）机构设置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二、收入预算说明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三、支出预算说明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</w:t>
      </w:r>
      <w:r>
        <w:rPr>
          <w:rFonts w:ascii="仿宋_GB2312" w:hAnsi="仿宋_GB2312" w:eastAsia="仿宋_GB2312" w:cs="仿宋_GB2312"/>
          <w:sz w:val="32"/>
          <w:szCs w:val="32"/>
        </w:rPr>
        <w:t>"</w:t>
      </w:r>
      <w:r>
        <w:rPr>
          <w:rFonts w:hint="eastAsia" w:ascii="仿宋_GB2312" w:hAnsi="仿宋_GB2312" w:eastAsia="仿宋_GB2312" w:cs="仿宋_GB2312"/>
          <w:sz w:val="32"/>
          <w:szCs w:val="32"/>
        </w:rPr>
        <w:t>三公</w:t>
      </w:r>
      <w:r>
        <w:rPr>
          <w:rFonts w:ascii="仿宋_GB2312" w:hAnsi="仿宋_GB2312" w:eastAsia="仿宋_GB2312" w:cs="仿宋_GB2312"/>
          <w:sz w:val="32"/>
          <w:szCs w:val="32"/>
        </w:rPr>
        <w:t>"</w:t>
      </w:r>
      <w:r>
        <w:rPr>
          <w:rFonts w:hint="eastAsia" w:ascii="仿宋_GB2312" w:hAnsi="仿宋_GB2312" w:eastAsia="仿宋_GB2312" w:cs="仿宋_GB2312"/>
          <w:sz w:val="32"/>
          <w:szCs w:val="32"/>
        </w:rPr>
        <w:t>经费说明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560" w:leftChars="2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五、其他需要说明的情况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560" w:leftChars="2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（一）机关运行经费情况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560" w:leftChars="2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（二）政府采购安排情况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560" w:leftChars="2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（三）国有资产占有使用情况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560" w:leftChars="2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（四）重点项目预算绩效目标设置情况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560" w:leftChars="2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（五）专业名词解释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0" w:rightChars="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第二部分</w:t>
      </w:r>
      <w:r>
        <w:rPr>
          <w:rFonts w:ascii="黑体" w:hAnsi="黑体" w:eastAsia="黑体" w:cs="黑体"/>
          <w:sz w:val="32"/>
          <w:szCs w:val="32"/>
        </w:rPr>
        <w:t xml:space="preserve">    2016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ascii="黑体" w:hAnsi="黑体" w:eastAsia="黑体" w:cs="黑体"/>
          <w:sz w:val="32"/>
          <w:szCs w:val="32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</w:rPr>
        <w:t>司法局</w:t>
      </w:r>
      <w:r>
        <w:rPr>
          <w:rFonts w:ascii="黑体" w:hAnsi="黑体" w:eastAsia="黑体" w:cs="黑体"/>
          <w:sz w:val="32"/>
          <w:szCs w:val="32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</w:rPr>
        <w:t>部门预算表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年财政拨款收支总表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年一般公共预算基本支出表（部门经济分类）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年一般公共预算“三公”经费支出表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年政府性基金预算支出表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六、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年部门收支总表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七、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年部门收入表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八、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年部门支出表</w:t>
      </w: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2016</w:t>
      </w:r>
      <w:r>
        <w:rPr>
          <w:rFonts w:hint="eastAsia" w:ascii="宋体" w:hAnsi="宋体"/>
          <w:b/>
          <w:sz w:val="44"/>
          <w:szCs w:val="44"/>
        </w:rPr>
        <w:t>年霞山区司法局</w:t>
      </w:r>
      <w:r>
        <w:rPr>
          <w:rFonts w:hint="eastAsia" w:ascii="宋体" w:hAnsi="宋体"/>
          <w:b/>
          <w:sz w:val="44"/>
          <w:szCs w:val="44"/>
          <w:lang w:eastAsia="zh-CN"/>
        </w:rPr>
        <w:t>部门</w:t>
      </w:r>
      <w:r>
        <w:rPr>
          <w:rFonts w:hint="eastAsia" w:ascii="宋体" w:hAnsi="宋体"/>
          <w:b/>
          <w:sz w:val="44"/>
          <w:szCs w:val="44"/>
        </w:rPr>
        <w:t>预算</w:t>
      </w:r>
      <w:r>
        <w:rPr>
          <w:rFonts w:hint="eastAsia" w:ascii="宋体" w:hAnsi="宋体"/>
          <w:b/>
          <w:sz w:val="44"/>
          <w:szCs w:val="44"/>
          <w:lang w:eastAsia="zh-CN"/>
        </w:rPr>
        <w:t>基本</w:t>
      </w:r>
      <w:r>
        <w:rPr>
          <w:rFonts w:hint="eastAsia" w:ascii="宋体" w:hAnsi="宋体"/>
          <w:b/>
          <w:sz w:val="44"/>
          <w:szCs w:val="44"/>
        </w:rPr>
        <w:t>情况</w:t>
      </w: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说明</w:t>
      </w:r>
    </w:p>
    <w:p>
      <w:pPr>
        <w:spacing w:line="360" w:lineRule="auto"/>
        <w:jc w:val="center"/>
        <w:rPr>
          <w:rFonts w:ascii="宋体"/>
          <w:b/>
          <w:bCs/>
          <w:sz w:val="36"/>
          <w:szCs w:val="36"/>
        </w:rPr>
      </w:pPr>
    </w:p>
    <w:p>
      <w:pPr>
        <w:widowControl/>
        <w:spacing w:line="288" w:lineRule="auto"/>
        <w:ind w:firstLine="640"/>
        <w:jc w:val="left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一、部门基本情况</w:t>
      </w:r>
    </w:p>
    <w:p>
      <w:pPr>
        <w:widowControl/>
        <w:spacing w:line="288" w:lineRule="auto"/>
        <w:ind w:firstLine="640"/>
        <w:jc w:val="left"/>
        <w:rPr>
          <w:rFonts w:ascii="宋体" w:hAnsi="宋体" w:cs="宋体"/>
          <w:b/>
          <w:bCs/>
          <w:kern w:val="0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（一）</w:t>
      </w:r>
      <w:r>
        <w:rPr>
          <w:rFonts w:hint="eastAsia" w:ascii="宋体" w:hAnsi="宋体" w:cs="宋体"/>
          <w:b/>
          <w:bCs/>
          <w:kern w:val="0"/>
          <w:sz w:val="32"/>
          <w:szCs w:val="32"/>
        </w:rPr>
        <w:t>主要职责</w:t>
      </w:r>
    </w:p>
    <w:p>
      <w:pPr>
        <w:widowControl/>
        <w:spacing w:line="288" w:lineRule="auto"/>
        <w:ind w:firstLine="64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 w:val="32"/>
          <w:szCs w:val="32"/>
        </w:rPr>
        <w:t>一是指导、监督强制隔离戒毒的执行工作；二是指导、监督司法行政系统有关防范和处理邪教问题的工作；三是负责全区法制宣传教育工作；四是指导、监督律师工作、公证工作并承担相应责任。依法负责律师、公证相关管理工作</w:t>
      </w:r>
      <w:r>
        <w:rPr>
          <w:rFonts w:hint="eastAsia" w:ascii="仿宋" w:hAnsi="仿宋" w:eastAsia="仿宋" w:cs="宋体"/>
          <w:color w:val="000000"/>
          <w:kern w:val="0"/>
          <w:sz w:val="30"/>
        </w:rPr>
        <w:t>。</w:t>
      </w:r>
    </w:p>
    <w:p>
      <w:pPr>
        <w:spacing w:line="440" w:lineRule="exact"/>
        <w:ind w:firstLine="643" w:firstLineChars="200"/>
        <w:rPr>
          <w:rFonts w:ascii="宋体" w:hAnsi="宋体" w:cs="宋体"/>
          <w:b/>
          <w:bCs/>
          <w:kern w:val="0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（二）</w:t>
      </w:r>
      <w:r>
        <w:rPr>
          <w:rFonts w:hint="eastAsia" w:ascii="宋体" w:hAnsi="宋体" w:cs="宋体"/>
          <w:b/>
          <w:bCs/>
          <w:kern w:val="0"/>
          <w:sz w:val="32"/>
          <w:szCs w:val="32"/>
        </w:rPr>
        <w:t>机构设置</w:t>
      </w:r>
    </w:p>
    <w:p>
      <w:pPr>
        <w:spacing w:line="440" w:lineRule="exact"/>
        <w:ind w:firstLine="643" w:firstLineChars="200"/>
        <w:rPr>
          <w:rFonts w:ascii="宋体" w:hAnsi="宋体" w:cs="宋体"/>
          <w:b/>
          <w:bCs/>
          <w:kern w:val="0"/>
          <w:sz w:val="32"/>
          <w:szCs w:val="32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</w:rPr>
        <w:t>本部门无下属单位，部门预算为本级预算。</w:t>
      </w:r>
    </w:p>
    <w:p>
      <w:pPr>
        <w:spacing w:line="440" w:lineRule="exact"/>
        <w:ind w:firstLine="640" w:firstLineChars="200"/>
        <w:rPr>
          <w:rFonts w:ascii="宋体"/>
          <w:szCs w:val="28"/>
        </w:rPr>
      </w:pPr>
      <w:r>
        <w:rPr>
          <w:rFonts w:hint="eastAsia" w:ascii="宋体" w:hAnsi="宋体" w:cs="宋体"/>
          <w:kern w:val="0"/>
          <w:sz w:val="32"/>
          <w:szCs w:val="32"/>
        </w:rPr>
        <w:t>霞山区司法局内设：政工科、办公室、宣教股、公律股、基层股；直属行政单位有：海头、工农、新兴、爱国、友谊、海滨、建设、新园、东新、解放共十个司法所和霞山区法律援助处；事业单位有霞山区公职律师所。区人事编制部门核定司法局人员编制36人，事业编制1人；在职人员36人，离岗退养1人（离岗退养人员工资按在职人员发放），退休人员9人。司法局业务用车4辆，警摩10辆</w:t>
      </w:r>
      <w:r>
        <w:rPr>
          <w:rFonts w:hint="eastAsia" w:ascii="宋体" w:hAnsi="宋体"/>
          <w:szCs w:val="28"/>
        </w:rPr>
        <w:t>。</w:t>
      </w:r>
    </w:p>
    <w:p>
      <w:pPr>
        <w:spacing w:line="50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二、收入预算说明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年收入预算</w:t>
      </w:r>
      <w:r>
        <w:rPr>
          <w:rFonts w:ascii="仿宋_GB2312" w:hAnsi="仿宋_GB2312" w:eastAsia="仿宋_GB2312" w:cs="仿宋_GB2312"/>
          <w:sz w:val="32"/>
          <w:szCs w:val="32"/>
        </w:rPr>
        <w:t>507.79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万元，同比增加</w:t>
      </w:r>
      <w:r>
        <w:rPr>
          <w:rFonts w:ascii="仿宋_GB2312" w:hAnsi="仿宋_GB2312" w:eastAsia="仿宋_GB2312" w:cs="仿宋_GB2312"/>
          <w:sz w:val="32"/>
          <w:szCs w:val="32"/>
        </w:rPr>
        <w:t>145.56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spacing w:line="5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增长40.1%。收入增加的原因的由于工资福利支出和对个人和家庭的补助增加。其中：预算经费安排拨款</w:t>
      </w:r>
      <w:r>
        <w:rPr>
          <w:rFonts w:ascii="仿宋_GB2312" w:hAnsi="仿宋_GB2312" w:eastAsia="仿宋_GB2312" w:cs="仿宋_GB2312"/>
          <w:sz w:val="32"/>
          <w:szCs w:val="32"/>
        </w:rPr>
        <w:t>507.79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万元，其他非税收入安排拨款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三、支出预算说明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年支出预算</w:t>
      </w:r>
      <w:r>
        <w:rPr>
          <w:rFonts w:ascii="仿宋_GB2312" w:hAnsi="仿宋_GB2312" w:eastAsia="仿宋_GB2312" w:cs="仿宋_GB2312"/>
          <w:sz w:val="32"/>
          <w:szCs w:val="32"/>
        </w:rPr>
        <w:t>507.79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万元，同比增加</w:t>
      </w:r>
      <w:r>
        <w:rPr>
          <w:rFonts w:ascii="仿宋_GB2312" w:hAnsi="仿宋_GB2312" w:eastAsia="仿宋_GB2312" w:cs="仿宋_GB2312"/>
          <w:sz w:val="32"/>
          <w:szCs w:val="32"/>
        </w:rPr>
        <w:t>145.56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增长40.1%。支出增加的原因的由于工资福利支出和对个人和家庭的补助增加。支出按经济分类划分：</w:t>
      </w: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、基本支出预算</w:t>
      </w:r>
      <w:r>
        <w:rPr>
          <w:rFonts w:ascii="仿宋_GB2312" w:hAnsi="仿宋_GB2312" w:eastAsia="仿宋_GB2312" w:cs="仿宋_GB2312"/>
          <w:sz w:val="32"/>
          <w:szCs w:val="32"/>
        </w:rPr>
        <w:t>347.42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万元，其中：工资福利支出</w:t>
      </w:r>
      <w:r>
        <w:rPr>
          <w:rFonts w:ascii="仿宋_GB2312" w:hAnsi="仿宋_GB2312" w:eastAsia="仿宋_GB2312" w:cs="仿宋_GB2312"/>
          <w:sz w:val="32"/>
          <w:szCs w:val="32"/>
        </w:rPr>
        <w:t>249.39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万元，对个人和家庭的补助支出</w:t>
      </w:r>
      <w:r>
        <w:rPr>
          <w:rFonts w:ascii="仿宋_GB2312" w:hAnsi="仿宋_GB2312" w:eastAsia="仿宋_GB2312" w:cs="仿宋_GB2312"/>
          <w:sz w:val="32"/>
          <w:szCs w:val="32"/>
        </w:rPr>
        <w:t>66.73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万元，一般商品和服务支出</w:t>
      </w:r>
      <w:r>
        <w:rPr>
          <w:rFonts w:ascii="仿宋_GB2312" w:hAnsi="仿宋_GB2312" w:eastAsia="仿宋_GB2312" w:cs="仿宋_GB2312"/>
          <w:sz w:val="32"/>
          <w:szCs w:val="32"/>
        </w:rPr>
        <w:t>31.3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、项目支出预算</w:t>
      </w:r>
      <w:r>
        <w:rPr>
          <w:rFonts w:ascii="仿宋_GB2312" w:hAnsi="仿宋_GB2312" w:eastAsia="仿宋_GB2312" w:cs="仿宋_GB2312"/>
          <w:sz w:val="32"/>
          <w:szCs w:val="32"/>
        </w:rPr>
        <w:t>160.37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四、“三公经费”说明</w:t>
      </w:r>
    </w:p>
    <w:p>
      <w:pPr>
        <w:ind w:firstLine="640" w:firstLineChars="200"/>
        <w:rPr>
          <w:rFonts w:ascii="仿宋_GB2312" w:hAnsi="Calibri" w:eastAsia="仿宋_GB2312"/>
          <w:sz w:val="32"/>
          <w:szCs w:val="32"/>
        </w:rPr>
      </w:pPr>
      <w:bookmarkStart w:id="0" w:name="_GoBack"/>
      <w:r>
        <w:rPr>
          <w:rFonts w:hint="eastAsia" w:ascii="仿宋_GB2312" w:hAnsi="宋体" w:eastAsia="仿宋_GB2312"/>
          <w:sz w:val="32"/>
          <w:szCs w:val="32"/>
        </w:rPr>
        <w:t>2016</w:t>
      </w:r>
      <w:r>
        <w:rPr>
          <w:rFonts w:hint="eastAsia" w:ascii="仿宋_GB2312" w:hAnsi="Calibri" w:eastAsia="仿宋_GB2312"/>
          <w:sz w:val="32"/>
          <w:szCs w:val="32"/>
        </w:rPr>
        <w:t>年“三公经费”预算安排共 2万元，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与上年保持一致，其中</w:t>
      </w:r>
      <w:r>
        <w:rPr>
          <w:rFonts w:hint="eastAsia" w:ascii="仿宋_GB2312" w:hAnsi="Calibri" w:eastAsia="仿宋_GB2312"/>
          <w:sz w:val="32"/>
          <w:szCs w:val="32"/>
        </w:rPr>
        <w:t>：因公出国（境）费预算安排0万元，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与上年保持一致</w:t>
      </w:r>
      <w:r>
        <w:rPr>
          <w:rFonts w:hint="eastAsia" w:ascii="仿宋_GB2312" w:hAnsi="Calibri" w:eastAsia="仿宋_GB2312"/>
          <w:sz w:val="32"/>
          <w:szCs w:val="32"/>
        </w:rPr>
        <w:t>。公务用车购置及运行维护费预算安排 2万元，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与上年保持一致</w:t>
      </w:r>
      <w:r>
        <w:rPr>
          <w:rFonts w:hint="eastAsia" w:ascii="仿宋_GB2312" w:hAnsi="Calibri" w:eastAsia="仿宋_GB2312"/>
          <w:sz w:val="32"/>
          <w:szCs w:val="32"/>
        </w:rPr>
        <w:t>。公务接待费预算安排0万元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，与上年保持一致</w:t>
      </w:r>
      <w:r>
        <w:rPr>
          <w:rFonts w:hint="eastAsia" w:ascii="仿宋_GB2312" w:hAnsi="Calibri" w:eastAsia="仿宋_GB2312"/>
          <w:sz w:val="32"/>
          <w:szCs w:val="32"/>
        </w:rPr>
        <w:t>。</w:t>
      </w:r>
    </w:p>
    <w:bookmarkEnd w:id="0"/>
    <w:p>
      <w:pPr>
        <w:spacing w:line="500" w:lineRule="exact"/>
        <w:ind w:firstLine="643" w:firstLineChars="200"/>
        <w:rPr>
          <w:rFonts w:ascii="宋体"/>
          <w:b/>
          <w:sz w:val="32"/>
          <w:szCs w:val="32"/>
        </w:rPr>
      </w:pPr>
      <w:r>
        <w:rPr>
          <w:rFonts w:hint="eastAsia" w:ascii="宋体"/>
          <w:b/>
          <w:sz w:val="32"/>
          <w:szCs w:val="32"/>
        </w:rPr>
        <w:t>五、其他需要说明的情况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（一）关于“机关运行经费”支出的说明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年“机关运行经费”支出</w:t>
      </w:r>
      <w:r>
        <w:rPr>
          <w:rFonts w:ascii="仿宋_GB2312" w:hAnsi="仿宋_GB2312" w:eastAsia="仿宋_GB2312" w:cs="仿宋_GB2312"/>
          <w:sz w:val="32"/>
          <w:szCs w:val="32"/>
        </w:rPr>
        <w:t>31.3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万元，同比增加</w:t>
      </w:r>
      <w:r>
        <w:rPr>
          <w:rFonts w:ascii="仿宋_GB2312" w:hAnsi="仿宋_GB2312" w:eastAsia="仿宋_GB2312" w:cs="仿宋_GB2312"/>
          <w:sz w:val="32"/>
          <w:szCs w:val="32"/>
        </w:rPr>
        <w:t>10.15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万元，支出增加的主要原因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是</w:t>
      </w:r>
      <w:r>
        <w:rPr>
          <w:rFonts w:hint="eastAsia" w:ascii="仿宋_GB2312" w:hAnsi="仿宋_GB2312" w:eastAsia="仿宋_GB2312" w:cs="仿宋_GB2312"/>
          <w:sz w:val="32"/>
          <w:szCs w:val="32"/>
        </w:rPr>
        <w:t>其他交通费用的增加。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其中：</w:t>
      </w:r>
      <w:r>
        <w:rPr>
          <w:rFonts w:hint="eastAsia" w:ascii="仿宋_GB2312" w:hAnsi="仿宋_GB2312" w:eastAsia="仿宋_GB2312" w:cs="仿宋_GB2312"/>
          <w:sz w:val="32"/>
          <w:szCs w:val="32"/>
        </w:rPr>
        <w:t>其他交通费用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17.75万元,公务用车运行维护费2万元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（二）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关于政府采购支出说明：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政府采购安排为零。</w:t>
      </w:r>
    </w:p>
    <w:p>
      <w:pPr>
        <w:spacing w:line="580" w:lineRule="exact"/>
        <w:ind w:firstLine="602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（三）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国有资产占有使用情况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：截至</w:t>
      </w:r>
      <w:r>
        <w:rPr>
          <w:rFonts w:ascii="仿宋_GB2312" w:hAnsi="仿宋_GB2312" w:eastAsia="仿宋_GB2312" w:cs="仿宋_GB2312"/>
          <w:sz w:val="32"/>
          <w:szCs w:val="32"/>
        </w:rPr>
        <w:t>2015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ascii="仿宋_GB2312" w:hAnsi="仿宋_GB2312" w:eastAsia="仿宋_GB2312" w:cs="仿宋_GB2312"/>
          <w:sz w:val="32"/>
          <w:szCs w:val="32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ascii="仿宋_GB2312" w:hAnsi="仿宋_GB2312" w:eastAsia="仿宋_GB2312" w:cs="仿宋_GB2312"/>
          <w:sz w:val="32"/>
          <w:szCs w:val="32"/>
        </w:rPr>
        <w:t>31</w:t>
      </w:r>
      <w:r>
        <w:rPr>
          <w:rFonts w:hint="eastAsia" w:ascii="仿宋_GB2312" w:hAnsi="仿宋_GB2312" w:eastAsia="仿宋_GB2312" w:cs="仿宋_GB2312"/>
          <w:sz w:val="32"/>
          <w:szCs w:val="32"/>
        </w:rPr>
        <w:t>日，本部门国有资产总额为3609.1万元。本部门共有车辆15辆，全部均为一般公务用车，由于公务用车改革，使用管理权均为区机关事务局所有；单位价值20万元以上大型设备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台（套）。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（四）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重点项目预算绩效目标设置情况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：无</w:t>
      </w:r>
    </w:p>
    <w:p>
      <w:pPr>
        <w:widowControl/>
        <w:shd w:val="clear" w:color="auto" w:fill="FFFFFF"/>
        <w:spacing w:line="500" w:lineRule="atLeast"/>
        <w:ind w:firstLine="63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（五）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shd w:val="clear" w:color="auto" w:fill="FFFFFF"/>
        </w:rPr>
        <w:t>专业性较强的名词解释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无。</w:t>
      </w:r>
    </w:p>
    <w:p>
      <w:pPr>
        <w:spacing w:line="500" w:lineRule="exact"/>
        <w:rPr>
          <w:rFonts w:ascii="仿宋_GB2312" w:hAnsi="仿宋_GB2312" w:eastAsia="仿宋_GB2312" w:cs="仿宋_GB2312"/>
          <w:sz w:val="32"/>
          <w:szCs w:val="32"/>
        </w:rPr>
      </w:pPr>
    </w:p>
    <w:sectPr>
      <w:head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0DB23"/>
    <w:multiLevelType w:val="singleLevel"/>
    <w:tmpl w:val="5AB0DB23"/>
    <w:lvl w:ilvl="0" w:tentative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14F0"/>
    <w:rsid w:val="000D1AD5"/>
    <w:rsid w:val="00101364"/>
    <w:rsid w:val="00187726"/>
    <w:rsid w:val="0019167A"/>
    <w:rsid w:val="00236A06"/>
    <w:rsid w:val="00280BC7"/>
    <w:rsid w:val="002E6A6D"/>
    <w:rsid w:val="003039DD"/>
    <w:rsid w:val="003164F1"/>
    <w:rsid w:val="003D5742"/>
    <w:rsid w:val="00441754"/>
    <w:rsid w:val="00482868"/>
    <w:rsid w:val="0048633A"/>
    <w:rsid w:val="00493EF3"/>
    <w:rsid w:val="004956D7"/>
    <w:rsid w:val="004D4EFB"/>
    <w:rsid w:val="005F4CEA"/>
    <w:rsid w:val="00644659"/>
    <w:rsid w:val="0065390B"/>
    <w:rsid w:val="00691C5E"/>
    <w:rsid w:val="006974DC"/>
    <w:rsid w:val="006C2A44"/>
    <w:rsid w:val="00740BC6"/>
    <w:rsid w:val="00753CB4"/>
    <w:rsid w:val="0076087A"/>
    <w:rsid w:val="007C0EDA"/>
    <w:rsid w:val="007C3F3F"/>
    <w:rsid w:val="007E2506"/>
    <w:rsid w:val="00805EA0"/>
    <w:rsid w:val="00835A16"/>
    <w:rsid w:val="00863ECF"/>
    <w:rsid w:val="008670F7"/>
    <w:rsid w:val="00895A57"/>
    <w:rsid w:val="008A0BA9"/>
    <w:rsid w:val="00941B91"/>
    <w:rsid w:val="009750A6"/>
    <w:rsid w:val="009914C4"/>
    <w:rsid w:val="009A74C9"/>
    <w:rsid w:val="009F381F"/>
    <w:rsid w:val="009F5BA0"/>
    <w:rsid w:val="00A52225"/>
    <w:rsid w:val="00A94C88"/>
    <w:rsid w:val="00AB0476"/>
    <w:rsid w:val="00AB1817"/>
    <w:rsid w:val="00B66D2C"/>
    <w:rsid w:val="00BF31BC"/>
    <w:rsid w:val="00C36840"/>
    <w:rsid w:val="00C7439B"/>
    <w:rsid w:val="00C93045"/>
    <w:rsid w:val="00C942BE"/>
    <w:rsid w:val="00CB4CA5"/>
    <w:rsid w:val="00CF4F75"/>
    <w:rsid w:val="00D714F0"/>
    <w:rsid w:val="00D8307F"/>
    <w:rsid w:val="00DC1301"/>
    <w:rsid w:val="00DF3C4E"/>
    <w:rsid w:val="00E01817"/>
    <w:rsid w:val="00E15A50"/>
    <w:rsid w:val="00E235BE"/>
    <w:rsid w:val="00E616F0"/>
    <w:rsid w:val="00E67FCC"/>
    <w:rsid w:val="00ED5DF9"/>
    <w:rsid w:val="00F455BC"/>
    <w:rsid w:val="00F56510"/>
    <w:rsid w:val="00F76FD1"/>
    <w:rsid w:val="00FA029D"/>
    <w:rsid w:val="00FC62EA"/>
    <w:rsid w:val="01FF58AD"/>
    <w:rsid w:val="07A7375C"/>
    <w:rsid w:val="0C7F7266"/>
    <w:rsid w:val="140D37EA"/>
    <w:rsid w:val="17912F0C"/>
    <w:rsid w:val="1ED47A76"/>
    <w:rsid w:val="1F23417E"/>
    <w:rsid w:val="23F52B83"/>
    <w:rsid w:val="26BC50DA"/>
    <w:rsid w:val="318D2FEA"/>
    <w:rsid w:val="351340E9"/>
    <w:rsid w:val="39175EE9"/>
    <w:rsid w:val="3AAD67BD"/>
    <w:rsid w:val="3EE76EDE"/>
    <w:rsid w:val="4B5A5F13"/>
    <w:rsid w:val="51B91EF3"/>
    <w:rsid w:val="527C23DE"/>
    <w:rsid w:val="54C553FD"/>
    <w:rsid w:val="5CAA4FF9"/>
    <w:rsid w:val="5CD425A9"/>
    <w:rsid w:val="60AE5E65"/>
    <w:rsid w:val="6F06301C"/>
    <w:rsid w:val="76B725E4"/>
    <w:rsid w:val="78A6275A"/>
    <w:rsid w:val="7BEC2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99"/>
    <w:rPr>
      <w:rFonts w:cs="Times New Roman"/>
    </w:rPr>
  </w:style>
  <w:style w:type="character" w:customStyle="1" w:styleId="7">
    <w:name w:val="页脚 Char"/>
    <w:basedOn w:val="4"/>
    <w:link w:val="2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4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p0"/>
    <w:basedOn w:val="1"/>
    <w:qFormat/>
    <w:uiPriority w:val="99"/>
    <w:pPr>
      <w:widowControl/>
      <w:ind w:firstLine="420"/>
      <w:jc w:val="left"/>
    </w:pPr>
    <w:rPr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230</Words>
  <Characters>1316</Characters>
  <Lines>10</Lines>
  <Paragraphs>3</Paragraphs>
  <TotalTime>0</TotalTime>
  <ScaleCrop>false</ScaleCrop>
  <LinksUpToDate>false</LinksUpToDate>
  <CharactersWithSpaces>1543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2017-12-06T07:53:00Z</dcterms:created>
  <dc:creator>Administrator</dc:creator>
  <cp:lastModifiedBy>Administrator</cp:lastModifiedBy>
  <dcterms:modified xsi:type="dcterms:W3CDTF">2018-04-11T08:39:29Z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