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ascii="方正小标宋简体" w:hAnsi="方正小标宋简体" w:eastAsia="方正小标宋简体" w:cs="方正小标宋简体"/>
          <w:sz w:val="84"/>
          <w:szCs w:val="84"/>
        </w:rPr>
        <w:t>2016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年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霞山区建设局</w:t>
      </w:r>
      <w:r>
        <w:rPr>
          <w:rFonts w:ascii="方正小标宋简体" w:hAnsi="方正小标宋简体" w:eastAsia="方正小标宋简体" w:cs="方正小标宋简体"/>
          <w:sz w:val="84"/>
          <w:szCs w:val="84"/>
        </w:rPr>
        <w:t xml:space="preserve">  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部门预算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建设局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（二）政府采购安排情况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（三）国有资产占有使用情况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（四）重点项目预算绩效目标设置情况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建设局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hint="eastAsia" w:ascii="宋体" w:hAnsi="宋体"/>
          <w:b/>
          <w:sz w:val="44"/>
          <w:szCs w:val="44"/>
        </w:rPr>
        <w:t>年霞山区建设局</w:t>
      </w:r>
      <w:r>
        <w:rPr>
          <w:rFonts w:hint="eastAsia" w:ascii="宋体" w:hAnsi="宋体"/>
          <w:b/>
          <w:sz w:val="44"/>
          <w:szCs w:val="44"/>
          <w:lang w:eastAsia="zh-CN"/>
        </w:rPr>
        <w:t>部门</w:t>
      </w:r>
      <w:r>
        <w:rPr>
          <w:rFonts w:hint="eastAsia" w:ascii="宋体" w:hAnsi="宋体"/>
          <w:b/>
          <w:sz w:val="44"/>
          <w:szCs w:val="44"/>
        </w:rPr>
        <w:t>预算</w:t>
      </w:r>
      <w:r>
        <w:rPr>
          <w:rFonts w:hint="eastAsia" w:ascii="宋体" w:hAnsi="宋体"/>
          <w:b/>
          <w:sz w:val="44"/>
          <w:szCs w:val="44"/>
          <w:lang w:eastAsia="zh-CN"/>
        </w:rPr>
        <w:t>基本</w:t>
      </w:r>
      <w:r>
        <w:rPr>
          <w:rFonts w:hint="eastAsia" w:ascii="宋体" w:hAnsi="宋体"/>
          <w:b/>
          <w:sz w:val="44"/>
          <w:szCs w:val="44"/>
        </w:rPr>
        <w:t>情况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说明</w:t>
      </w:r>
    </w:p>
    <w:p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>
      <w:pPr>
        <w:ind w:firstLine="63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一、部门基本情况</w:t>
      </w:r>
    </w:p>
    <w:p>
      <w:pPr>
        <w:ind w:firstLine="63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主要职责</w:t>
      </w:r>
    </w:p>
    <w:p>
      <w:pPr>
        <w:ind w:firstLine="63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霞山区建设局是霞山区人民政府主管城市建设的行政职能部门，其主要职责是负责城市市政基础设施建设和市政道路维护管理；负责对辖区内的市容环境卫生和门前“三包”工作进行监督管理；负责霞山城区和市总体规划内的村庄私房建设工程的报建、施工现场管理；负责组织全区的义务植树工作，负责辖区内庭院园林绿化的管理等。</w:t>
      </w:r>
    </w:p>
    <w:p>
      <w:pPr>
        <w:ind w:firstLine="630"/>
        <w:rPr>
          <w:rFonts w:ascii="宋体" w:hAnsi="宋体"/>
          <w:b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（二）</w:t>
      </w:r>
      <w:r>
        <w:rPr>
          <w:rFonts w:hint="eastAsia" w:ascii="宋体" w:hAnsi="宋体"/>
          <w:b/>
          <w:szCs w:val="28"/>
        </w:rPr>
        <w:t>机构设置</w:t>
      </w:r>
    </w:p>
    <w:p>
      <w:pPr>
        <w:ind w:firstLine="630"/>
        <w:rPr>
          <w:rFonts w:ascii="宋体" w:hAnsi="宋体"/>
          <w:szCs w:val="28"/>
        </w:rPr>
      </w:pPr>
      <w:r>
        <w:rPr>
          <w:rFonts w:hint="eastAsia" w:ascii="宋体" w:hAnsi="宋体"/>
          <w:b/>
          <w:szCs w:val="28"/>
        </w:rPr>
        <w:t>本部门无下属单位，部门预算为本级预算。</w:t>
      </w:r>
      <w:r>
        <w:rPr>
          <w:rFonts w:hint="eastAsia" w:ascii="宋体" w:hAnsi="宋体"/>
          <w:szCs w:val="28"/>
        </w:rPr>
        <w:t>局的内设机构有办公室、绿化办、民房办、市容股等4个股室，属下有霞山区城市市容环境卫生监察队和城管办2个事业单位。霞山区建设局现有行政编制9名和事业编制1名，实有人员10名，退休人员16名。列入部门决算编制的下属单位有2个，一是霞山区城市市容环境卫生监察队，实有人员20名，二是霞山区城市管理委员会办公室，实有人员6名。</w:t>
      </w:r>
    </w:p>
    <w:p>
      <w:pPr>
        <w:spacing w:line="50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二、收入预算说明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年收入预算</w:t>
      </w:r>
      <w:r>
        <w:rPr>
          <w:rFonts w:ascii="仿宋_GB2312" w:hAnsi="仿宋_GB2312" w:eastAsia="仿宋_GB2312" w:cs="仿宋_GB2312"/>
          <w:sz w:val="32"/>
          <w:szCs w:val="32"/>
        </w:rPr>
        <w:t>4737.32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3,457.36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万元。增长270%。收入增加的原因的由于其他类项目支出增加。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其中：预算经费安排拨款</w:t>
      </w:r>
      <w:r>
        <w:rPr>
          <w:rFonts w:ascii="仿宋_GB2312" w:hAnsi="仿宋_GB2312" w:eastAsia="仿宋_GB2312" w:cs="仿宋_GB2312"/>
          <w:sz w:val="32"/>
          <w:szCs w:val="32"/>
        </w:rPr>
        <w:t>4737.32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万元，其他非税收入安排拨款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年支出预算</w:t>
      </w:r>
      <w:r>
        <w:rPr>
          <w:rFonts w:ascii="仿宋_GB2312" w:hAnsi="仿宋_GB2312" w:eastAsia="仿宋_GB2312" w:cs="仿宋_GB2312"/>
          <w:sz w:val="32"/>
          <w:szCs w:val="32"/>
        </w:rPr>
        <w:t>4737.32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3,457.36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万元。增长270%。支出增加的原因的由于其他类项目支出增加。支出按经济分类划分：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、基本支出预算</w:t>
      </w:r>
      <w:r>
        <w:rPr>
          <w:rFonts w:ascii="仿宋_GB2312" w:hAnsi="仿宋_GB2312" w:eastAsia="仿宋_GB2312" w:cs="仿宋_GB2312"/>
          <w:sz w:val="32"/>
          <w:szCs w:val="32"/>
        </w:rPr>
        <w:t>226.49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万元，其中：工资福利支出</w:t>
      </w:r>
      <w:r>
        <w:rPr>
          <w:rFonts w:ascii="仿宋_GB2312" w:hAnsi="仿宋_GB2312" w:eastAsia="仿宋_GB2312" w:cs="仿宋_GB2312"/>
          <w:sz w:val="32"/>
          <w:szCs w:val="32"/>
        </w:rPr>
        <w:t>119.71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万元，对个人和家庭的补助支出</w:t>
      </w:r>
      <w:r>
        <w:rPr>
          <w:rFonts w:ascii="仿宋_GB2312" w:hAnsi="仿宋_GB2312" w:eastAsia="仿宋_GB2312" w:cs="仿宋_GB2312"/>
          <w:sz w:val="32"/>
          <w:szCs w:val="32"/>
        </w:rPr>
        <w:t>91.2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万元，一般商品和服务支出</w:t>
      </w:r>
      <w:r>
        <w:rPr>
          <w:rFonts w:ascii="仿宋_GB2312" w:hAnsi="仿宋_GB2312" w:eastAsia="仿宋_GB2312" w:cs="仿宋_GB2312"/>
          <w:sz w:val="32"/>
          <w:szCs w:val="32"/>
        </w:rPr>
        <w:t>15.58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、项目支出预算</w:t>
      </w:r>
      <w:r>
        <w:rPr>
          <w:rFonts w:ascii="仿宋_GB2312" w:hAnsi="仿宋_GB2312" w:eastAsia="仿宋_GB2312" w:cs="仿宋_GB2312"/>
          <w:sz w:val="32"/>
          <w:szCs w:val="32"/>
        </w:rPr>
        <w:t>4510.83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四、“三公经费”说明</w:t>
      </w:r>
    </w:p>
    <w:p>
      <w:pPr>
        <w:pStyle w:val="9"/>
        <w:spacing w:line="450" w:lineRule="atLeast"/>
        <w:ind w:firstLine="560" w:firstLineChars="20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今年“三公”经费预算安排4万元，</w:t>
      </w:r>
      <w:r>
        <w:rPr>
          <w:rFonts w:hint="eastAsia"/>
          <w:bCs/>
          <w:sz w:val="28"/>
          <w:szCs w:val="28"/>
          <w:lang w:eastAsia="zh-CN"/>
        </w:rPr>
        <w:t>比上年减少</w:t>
      </w:r>
      <w:r>
        <w:rPr>
          <w:rFonts w:hint="eastAsia"/>
          <w:bCs/>
          <w:sz w:val="28"/>
          <w:szCs w:val="28"/>
          <w:lang w:val="en-US" w:eastAsia="zh-CN"/>
        </w:rPr>
        <w:t>0.4万元</w:t>
      </w:r>
      <w:r>
        <w:rPr>
          <w:rFonts w:hint="eastAsia"/>
          <w:bCs/>
          <w:sz w:val="28"/>
          <w:szCs w:val="28"/>
        </w:rPr>
        <w:t>，</w:t>
      </w:r>
      <w:r>
        <w:rPr>
          <w:rFonts w:hint="eastAsia"/>
          <w:bCs/>
          <w:sz w:val="28"/>
          <w:szCs w:val="28"/>
          <w:lang w:eastAsia="zh-CN"/>
        </w:rPr>
        <w:t>主要原因是公务用车维护费减少</w:t>
      </w:r>
      <w:r>
        <w:rPr>
          <w:rFonts w:hint="eastAsia"/>
          <w:bCs/>
          <w:sz w:val="28"/>
          <w:szCs w:val="28"/>
          <w:lang w:val="en-US" w:eastAsia="zh-CN"/>
        </w:rPr>
        <w:t>,其中:</w:t>
      </w:r>
    </w:p>
    <w:p>
      <w:pPr>
        <w:pStyle w:val="9"/>
        <w:spacing w:line="450" w:lineRule="atLeast"/>
        <w:ind w:firstLine="560" w:firstLineChars="20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1、因公出国（境）费预算安排0万元。同上年持平。</w:t>
      </w:r>
    </w:p>
    <w:p>
      <w:pPr>
        <w:pStyle w:val="9"/>
        <w:spacing w:line="450" w:lineRule="atLeast"/>
        <w:ind w:firstLine="560" w:firstLineChars="20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2、公务用车购置及运行维护费预算安排4万元，</w:t>
      </w:r>
      <w:r>
        <w:rPr>
          <w:rFonts w:hint="eastAsia"/>
          <w:bCs/>
          <w:sz w:val="28"/>
          <w:szCs w:val="28"/>
          <w:lang w:eastAsia="zh-CN"/>
        </w:rPr>
        <w:t>比上年减少</w:t>
      </w:r>
      <w:r>
        <w:rPr>
          <w:rFonts w:hint="eastAsia"/>
          <w:bCs/>
          <w:sz w:val="28"/>
          <w:szCs w:val="28"/>
          <w:lang w:val="en-US" w:eastAsia="zh-CN"/>
        </w:rPr>
        <w:t>0.4万元</w:t>
      </w:r>
      <w:r>
        <w:rPr>
          <w:rFonts w:hint="eastAsia"/>
          <w:bCs/>
          <w:sz w:val="28"/>
          <w:szCs w:val="28"/>
        </w:rPr>
        <w:t>，</w:t>
      </w:r>
      <w:r>
        <w:rPr>
          <w:rFonts w:hint="eastAsia"/>
          <w:bCs/>
          <w:sz w:val="28"/>
          <w:szCs w:val="28"/>
          <w:lang w:eastAsia="zh-CN"/>
        </w:rPr>
        <w:t>主要原因是车改</w:t>
      </w:r>
      <w:r>
        <w:rPr>
          <w:rFonts w:hint="eastAsia"/>
          <w:bCs/>
          <w:sz w:val="28"/>
          <w:szCs w:val="28"/>
        </w:rPr>
        <w:t>，主要包括：公务车保有量2辆，全年运行维护预算安排4万元，平均每辆2万元。</w:t>
      </w:r>
    </w:p>
    <w:p>
      <w:pPr>
        <w:spacing w:line="500" w:lineRule="exact"/>
        <w:ind w:firstLine="560" w:firstLineChars="200"/>
        <w:rPr>
          <w:rFonts w:ascii="宋体" w:hAnsi="宋体"/>
          <w:sz w:val="32"/>
          <w:szCs w:val="32"/>
        </w:rPr>
      </w:pPr>
      <w:r>
        <w:rPr>
          <w:rFonts w:hint="eastAsia"/>
          <w:szCs w:val="28"/>
        </w:rPr>
        <w:t>3、公务接待费预算安排0万元。</w:t>
      </w:r>
      <w:r>
        <w:rPr>
          <w:rFonts w:hint="eastAsia"/>
          <w:bCs/>
          <w:szCs w:val="28"/>
        </w:rPr>
        <w:t>同上年持平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（一）关于“机关运行经费”支出的说明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年“机关运行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经费”支出</w:t>
      </w:r>
      <w:r>
        <w:rPr>
          <w:rFonts w:ascii="仿宋_GB2312" w:hAnsi="仿宋_GB2312" w:eastAsia="仿宋_GB2312" w:cs="仿宋_GB2312"/>
          <w:sz w:val="32"/>
          <w:szCs w:val="32"/>
        </w:rPr>
        <w:t>15.58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4.88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万元，支出增加的主要原因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是</w:t>
      </w:r>
      <w:r>
        <w:rPr>
          <w:rFonts w:hint="eastAsia" w:ascii="仿宋_GB2312" w:hAnsi="仿宋_GB2312" w:eastAsia="仿宋_GB2312" w:cs="仿宋_GB2312"/>
          <w:sz w:val="32"/>
          <w:szCs w:val="32"/>
        </w:rPr>
        <w:t>其他交通费用的增加。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其中：</w:t>
      </w:r>
      <w:r>
        <w:rPr>
          <w:rFonts w:hint="eastAsia" w:ascii="仿宋_GB2312" w:hAnsi="仿宋_GB2312" w:eastAsia="仿宋_GB2312" w:cs="仿宋_GB2312"/>
          <w:sz w:val="32"/>
          <w:szCs w:val="32"/>
        </w:rPr>
        <w:t>其他交通费用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5.98万元,办公费5.6万元,公务用车运行维护费4万元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关于政府采购支出说明：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：截至</w:t>
      </w:r>
      <w:r>
        <w:rPr>
          <w:rFonts w:ascii="仿宋_GB2312" w:hAnsi="仿宋_GB2312" w:eastAsia="仿宋_GB2312" w:cs="仿宋_GB2312"/>
          <w:sz w:val="32"/>
          <w:szCs w:val="32"/>
        </w:rPr>
        <w:t>2015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日，本部门国有资产总额为260.7万元。本部门共有车辆6辆，全部均为一般公务用车，由于公务用车改革，使用管理权均为区机关事务局所有；单位价值</w:t>
      </w:r>
      <w:r>
        <w:rPr>
          <w:rFonts w:ascii="仿宋_GB2312" w:hAnsi="仿宋_GB2312" w:eastAsia="仿宋_GB2312" w:cs="仿宋_GB2312"/>
          <w:sz w:val="32"/>
          <w:szCs w:val="32"/>
        </w:rPr>
        <w:t>93.58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万元以上大型设备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（五）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753D9"/>
    <w:rsid w:val="000B1563"/>
    <w:rsid w:val="000B2DE0"/>
    <w:rsid w:val="000D1AD5"/>
    <w:rsid w:val="00101364"/>
    <w:rsid w:val="0019167A"/>
    <w:rsid w:val="00236A06"/>
    <w:rsid w:val="00250C55"/>
    <w:rsid w:val="00260C8C"/>
    <w:rsid w:val="00280BC7"/>
    <w:rsid w:val="002E6A6D"/>
    <w:rsid w:val="003039DD"/>
    <w:rsid w:val="003164F1"/>
    <w:rsid w:val="003D5742"/>
    <w:rsid w:val="0048633A"/>
    <w:rsid w:val="004956D7"/>
    <w:rsid w:val="004A0650"/>
    <w:rsid w:val="004A1E4A"/>
    <w:rsid w:val="004D4EFB"/>
    <w:rsid w:val="00526CB2"/>
    <w:rsid w:val="005E4ACE"/>
    <w:rsid w:val="005F4CEA"/>
    <w:rsid w:val="0065390B"/>
    <w:rsid w:val="0065741E"/>
    <w:rsid w:val="00691C5E"/>
    <w:rsid w:val="006974DC"/>
    <w:rsid w:val="006C2A44"/>
    <w:rsid w:val="006D46CA"/>
    <w:rsid w:val="00753CB4"/>
    <w:rsid w:val="0076087A"/>
    <w:rsid w:val="00774565"/>
    <w:rsid w:val="007C0EDA"/>
    <w:rsid w:val="007C3F3F"/>
    <w:rsid w:val="007E2506"/>
    <w:rsid w:val="00805EA0"/>
    <w:rsid w:val="00835A16"/>
    <w:rsid w:val="00863ECF"/>
    <w:rsid w:val="00895A57"/>
    <w:rsid w:val="008A0BA9"/>
    <w:rsid w:val="00941B91"/>
    <w:rsid w:val="009750A6"/>
    <w:rsid w:val="009914C4"/>
    <w:rsid w:val="0099578E"/>
    <w:rsid w:val="009A74C9"/>
    <w:rsid w:val="00A52225"/>
    <w:rsid w:val="00A94C88"/>
    <w:rsid w:val="00AB0476"/>
    <w:rsid w:val="00AB1817"/>
    <w:rsid w:val="00B66D2C"/>
    <w:rsid w:val="00C36840"/>
    <w:rsid w:val="00C7439B"/>
    <w:rsid w:val="00C93045"/>
    <w:rsid w:val="00C942BE"/>
    <w:rsid w:val="00CB4CA5"/>
    <w:rsid w:val="00CF4F75"/>
    <w:rsid w:val="00D11FE3"/>
    <w:rsid w:val="00D53667"/>
    <w:rsid w:val="00D714F0"/>
    <w:rsid w:val="00DC1301"/>
    <w:rsid w:val="00E01817"/>
    <w:rsid w:val="00E15A50"/>
    <w:rsid w:val="00E235BE"/>
    <w:rsid w:val="00E616F0"/>
    <w:rsid w:val="00E67FCC"/>
    <w:rsid w:val="00ED5DF9"/>
    <w:rsid w:val="00F2151D"/>
    <w:rsid w:val="00F56510"/>
    <w:rsid w:val="00FA029D"/>
    <w:rsid w:val="01FF58AD"/>
    <w:rsid w:val="07A7375C"/>
    <w:rsid w:val="0C7F7266"/>
    <w:rsid w:val="1307415D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页脚 Char"/>
    <w:basedOn w:val="4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0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217</Words>
  <Characters>1240</Characters>
  <Lines>10</Lines>
  <Paragraphs>2</Paragraphs>
  <TotalTime>0</TotalTime>
  <ScaleCrop>false</ScaleCrop>
  <LinksUpToDate>false</LinksUpToDate>
  <CharactersWithSpaces>1455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2017-12-06T07:53:00Z</dcterms:created>
  <dc:creator>Administrator</dc:creator>
  <cp:lastModifiedBy>Administrator</cp:lastModifiedBy>
  <dcterms:modified xsi:type="dcterms:W3CDTF">2018-04-11T10:21:51Z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