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r>
        <w:rPr>
          <w:rFonts w:ascii="方正小标宋简体" w:hAnsi="方正小标宋简体" w:eastAsia="方正小标宋简体" w:cs="方正小标宋简体"/>
          <w:sz w:val="84"/>
          <w:szCs w:val="84"/>
        </w:rPr>
        <w:t>2016</w:t>
      </w:r>
      <w:r>
        <w:rPr>
          <w:rFonts w:hint="eastAsia" w:ascii="方正小标宋简体" w:hAnsi="方正小标宋简体" w:eastAsia="方正小标宋简体" w:cs="方正小标宋简体"/>
          <w:sz w:val="84"/>
          <w:szCs w:val="84"/>
        </w:rPr>
        <w:t>年</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lang w:eastAsia="zh-CN"/>
        </w:rPr>
        <w:t>湛江市</w:t>
      </w:r>
      <w:r>
        <w:rPr>
          <w:rFonts w:hint="eastAsia" w:ascii="方正小标宋简体" w:hAnsi="方正小标宋简体" w:eastAsia="方正小标宋简体" w:cs="方正小标宋简体"/>
          <w:sz w:val="84"/>
          <w:szCs w:val="84"/>
        </w:rPr>
        <w:t>第十小学</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部门预算</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rPr>
          <w:rFonts w:ascii="黑体" w:hAnsi="黑体" w:eastAsia="黑体" w:cs="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第十小学部门预算基本情况说明</w:t>
      </w:r>
    </w:p>
    <w:p>
      <w:pPr>
        <w:numPr>
          <w:ilvl w:val="0"/>
          <w:numId w:val="1"/>
        </w:num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部门基本情况</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（二）机构设置</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三公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经费说明</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五、其他需要说明的情况</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（一）机关运行经费情况</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（二）政府采购安排情况</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（三）国有资产占有使用情况</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（四）重点项目预算绩效目标设置情况</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（五）专业名词解释</w:t>
      </w:r>
    </w:p>
    <w:p>
      <w:pPr>
        <w:ind w:firstLine="640" w:firstLineChars="200"/>
        <w:rPr>
          <w:rFonts w:ascii="仿宋_GB2312" w:hAnsi="仿宋_GB2312" w:eastAsia="仿宋_GB2312" w:cs="仿宋_GB2312"/>
          <w:sz w:val="32"/>
          <w:szCs w:val="32"/>
        </w:rPr>
      </w:pPr>
    </w:p>
    <w:p>
      <w:pPr>
        <w:rPr>
          <w:rFonts w:ascii="黑体" w:hAnsi="黑体" w:eastAsia="黑体" w:cs="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第十小学部门预算表</w:t>
      </w:r>
    </w:p>
    <w:p>
      <w:pPr>
        <w:pStyle w:val="9"/>
        <w:snapToGrid w:val="0"/>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年财政拨款收支总表</w:t>
      </w:r>
    </w:p>
    <w:p>
      <w:pPr>
        <w:pStyle w:val="9"/>
        <w:snapToGrid w:val="0"/>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年一般公共预算支出表</w:t>
      </w:r>
    </w:p>
    <w:p>
      <w:pPr>
        <w:pStyle w:val="9"/>
        <w:snapToGrid w:val="0"/>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年一般公共预算基本支出表（部门经济分类）</w:t>
      </w:r>
    </w:p>
    <w:p>
      <w:pPr>
        <w:pStyle w:val="9"/>
        <w:snapToGrid w:val="0"/>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年一般公共预算“三公”经费支出表</w:t>
      </w:r>
    </w:p>
    <w:p>
      <w:pPr>
        <w:pStyle w:val="9"/>
        <w:snapToGrid w:val="0"/>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年政府性基金预算支出表</w:t>
      </w:r>
    </w:p>
    <w:p>
      <w:pPr>
        <w:pStyle w:val="9"/>
        <w:snapToGrid w:val="0"/>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年部门收支总表</w:t>
      </w:r>
    </w:p>
    <w:p>
      <w:pPr>
        <w:pStyle w:val="9"/>
        <w:snapToGrid w:val="0"/>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年部门收入表</w:t>
      </w:r>
    </w:p>
    <w:p>
      <w:pPr>
        <w:widowControl/>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年部门支出表</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r>
        <w:rPr>
          <w:rFonts w:ascii="宋体" w:hAnsi="宋体"/>
          <w:b/>
          <w:sz w:val="44"/>
          <w:szCs w:val="44"/>
        </w:rPr>
        <w:t>2016</w:t>
      </w:r>
      <w:r>
        <w:rPr>
          <w:rFonts w:hint="eastAsia" w:ascii="宋体" w:hAnsi="宋体"/>
          <w:b/>
          <w:sz w:val="44"/>
          <w:szCs w:val="44"/>
        </w:rPr>
        <w:t>年</w:t>
      </w:r>
      <w:r>
        <w:rPr>
          <w:rFonts w:hint="eastAsia" w:ascii="宋体" w:hAnsi="宋体"/>
          <w:b/>
          <w:sz w:val="44"/>
          <w:szCs w:val="44"/>
          <w:lang w:eastAsia="zh-CN"/>
        </w:rPr>
        <w:t>湛江市</w:t>
      </w:r>
      <w:r>
        <w:rPr>
          <w:rFonts w:hint="eastAsia" w:ascii="宋体" w:hAnsi="宋体"/>
          <w:b/>
          <w:sz w:val="44"/>
          <w:szCs w:val="44"/>
        </w:rPr>
        <w:t>第十小学预算情况说明</w:t>
      </w:r>
    </w:p>
    <w:p>
      <w:pPr>
        <w:spacing w:line="360" w:lineRule="auto"/>
        <w:jc w:val="center"/>
        <w:rPr>
          <w:rFonts w:ascii="宋体"/>
          <w:b/>
          <w:bCs/>
          <w:sz w:val="36"/>
          <w:szCs w:val="36"/>
        </w:rPr>
      </w:pPr>
    </w:p>
    <w:p>
      <w:pPr>
        <w:spacing w:line="360" w:lineRule="auto"/>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一、部门基本情况</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（一）主要职责</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湛江市第十小学是全日制公办小学。主要职能是为国家培养人才，教育入学儿童。</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（二）机构设置</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本部门无下属单位，部门预算为本级预算。</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我校为独立核算单位</w:t>
      </w:r>
      <w:r>
        <w:rPr>
          <w:rFonts w:ascii="仿宋_GB2312" w:hAnsi="仿宋_GB2312" w:eastAsia="仿宋_GB2312" w:cs="仿宋_GB2312"/>
          <w:spacing w:val="-10"/>
          <w:sz w:val="32"/>
          <w:szCs w:val="32"/>
        </w:rPr>
        <w:t>1</w:t>
      </w:r>
      <w:r>
        <w:rPr>
          <w:rFonts w:hint="eastAsia" w:ascii="仿宋_GB2312" w:hAnsi="仿宋_GB2312" w:eastAsia="仿宋_GB2312" w:cs="仿宋_GB2312"/>
          <w:spacing w:val="-10"/>
          <w:sz w:val="32"/>
          <w:szCs w:val="32"/>
        </w:rPr>
        <w:t>个</w:t>
      </w:r>
      <w:r>
        <w:rPr>
          <w:rFonts w:ascii="仿宋_GB2312" w:hAnsi="仿宋_GB2312" w:eastAsia="仿宋_GB2312" w:cs="仿宋_GB2312"/>
          <w:spacing w:val="-10"/>
          <w:sz w:val="32"/>
          <w:szCs w:val="32"/>
        </w:rPr>
        <w:t>,</w:t>
      </w:r>
      <w:r>
        <w:rPr>
          <w:rFonts w:hint="eastAsia" w:ascii="仿宋_GB2312" w:hAnsi="仿宋_GB2312" w:eastAsia="仿宋_GB2312" w:cs="仿宋_GB2312"/>
          <w:spacing w:val="-10"/>
          <w:sz w:val="32"/>
          <w:szCs w:val="32"/>
        </w:rPr>
        <w:t>设教务处、政教处、总务处、办公室等。</w:t>
      </w:r>
    </w:p>
    <w:p>
      <w:pPr>
        <w:spacing w:line="500" w:lineRule="exact"/>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二、收入预算说明</w:t>
      </w:r>
    </w:p>
    <w:p>
      <w:pPr>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年预算收入</w:t>
      </w:r>
      <w:r>
        <w:rPr>
          <w:rFonts w:ascii="仿宋_GB2312" w:hAnsi="仿宋_GB2312" w:eastAsia="仿宋_GB2312" w:cs="仿宋_GB2312"/>
          <w:sz w:val="32"/>
          <w:szCs w:val="32"/>
        </w:rPr>
        <w:t>1286.24</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186.51</w:t>
      </w:r>
      <w:r>
        <w:rPr>
          <w:rFonts w:hint="eastAsia" w:ascii="仿宋_GB2312" w:hAnsi="仿宋_GB2312" w:eastAsia="仿宋_GB2312" w:cs="仿宋_GB2312"/>
          <w:sz w:val="32"/>
          <w:szCs w:val="32"/>
        </w:rPr>
        <w:t>万元。</w:t>
      </w:r>
    </w:p>
    <w:p>
      <w:pPr>
        <w:spacing w:line="5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增加16.96%，增加的原因的由于工资福利支出和对个人和家庭的补助及一般商品和服务支出增加。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其中：预算经费安排拨款</w:t>
      </w:r>
      <w:r>
        <w:rPr>
          <w:rFonts w:ascii="仿宋_GB2312" w:hAnsi="仿宋_GB2312" w:eastAsia="仿宋_GB2312" w:cs="仿宋_GB2312"/>
          <w:sz w:val="32"/>
          <w:szCs w:val="32"/>
        </w:rPr>
        <w:t>1286.24</w:t>
      </w:r>
      <w:r>
        <w:rPr>
          <w:rFonts w:hint="eastAsia" w:ascii="仿宋_GB2312" w:hAnsi="仿宋_GB2312" w:eastAsia="仿宋_GB2312" w:cs="仿宋_GB2312"/>
          <w:sz w:val="32"/>
          <w:szCs w:val="32"/>
        </w:rPr>
        <w:t>万元，其他非税收入安排拨款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三、支出预算说明</w:t>
      </w:r>
    </w:p>
    <w:p>
      <w:pPr>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年支出预算</w:t>
      </w:r>
      <w:r>
        <w:rPr>
          <w:rFonts w:ascii="仿宋_GB2312" w:hAnsi="仿宋_GB2312" w:eastAsia="仿宋_GB2312" w:cs="仿宋_GB2312"/>
          <w:sz w:val="32"/>
          <w:szCs w:val="32"/>
        </w:rPr>
        <w:t>1286.24</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186.51</w:t>
      </w:r>
      <w:r>
        <w:rPr>
          <w:rFonts w:hint="eastAsia" w:ascii="仿宋_GB2312" w:hAnsi="仿宋_GB2312" w:eastAsia="仿宋_GB2312" w:cs="仿宋_GB2312"/>
          <w:sz w:val="32"/>
          <w:szCs w:val="32"/>
        </w:rPr>
        <w:t>万元。</w:t>
      </w:r>
    </w:p>
    <w:p>
      <w:pPr>
        <w:spacing w:line="5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增加16.96%，增加的原因的由于工资福利支出和对个人和家庭的补助及一般商品和服务支出增加。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支出按经济分类划分：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、基本支出预算</w:t>
      </w:r>
      <w:r>
        <w:rPr>
          <w:rFonts w:ascii="仿宋_GB2312" w:hAnsi="仿宋_GB2312" w:eastAsia="仿宋_GB2312" w:cs="仿宋_GB2312"/>
          <w:sz w:val="32"/>
          <w:szCs w:val="32"/>
        </w:rPr>
        <w:t>1,286.08</w:t>
      </w:r>
      <w:r>
        <w:rPr>
          <w:rFonts w:hint="eastAsia" w:ascii="仿宋_GB2312" w:hAnsi="仿宋_GB2312" w:eastAsia="仿宋_GB2312" w:cs="仿宋_GB2312"/>
          <w:sz w:val="32"/>
          <w:szCs w:val="32"/>
        </w:rPr>
        <w:t>万元，其中：工资福利支出</w:t>
      </w:r>
      <w:r>
        <w:rPr>
          <w:rFonts w:ascii="仿宋_GB2312" w:hAnsi="仿宋_GB2312" w:eastAsia="仿宋_GB2312" w:cs="仿宋_GB2312"/>
          <w:sz w:val="32"/>
          <w:szCs w:val="32"/>
        </w:rPr>
        <w:t>713.69</w:t>
      </w:r>
      <w:r>
        <w:rPr>
          <w:rFonts w:hint="eastAsia" w:ascii="仿宋_GB2312" w:hAnsi="仿宋_GB2312" w:eastAsia="仿宋_GB2312" w:cs="仿宋_GB2312"/>
          <w:sz w:val="32"/>
          <w:szCs w:val="32"/>
        </w:rPr>
        <w:t>万元，一般商品和服务支出</w:t>
      </w:r>
      <w:r>
        <w:rPr>
          <w:rFonts w:ascii="仿宋_GB2312" w:hAnsi="仿宋_GB2312" w:eastAsia="仿宋_GB2312" w:cs="仿宋_GB2312"/>
          <w:sz w:val="32"/>
          <w:szCs w:val="32"/>
        </w:rPr>
        <w:t>243.46</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t xml:space="preserve"> </w:t>
      </w:r>
      <w:r>
        <w:rPr>
          <w:rFonts w:hint="eastAsia" w:ascii="仿宋_GB2312" w:hAnsi="仿宋_GB2312" w:eastAsia="仿宋_GB2312" w:cs="仿宋_GB2312"/>
          <w:sz w:val="32"/>
          <w:szCs w:val="32"/>
        </w:rPr>
        <w:t>对个人和家庭的补助支出</w:t>
      </w:r>
      <w:r>
        <w:rPr>
          <w:rFonts w:ascii="仿宋_GB2312" w:hAnsi="仿宋_GB2312" w:eastAsia="仿宋_GB2312" w:cs="仿宋_GB2312"/>
          <w:sz w:val="32"/>
          <w:szCs w:val="32"/>
        </w:rPr>
        <w:t>328.93</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、项目支出预算</w:t>
      </w:r>
      <w:r>
        <w:rPr>
          <w:rFonts w:ascii="仿宋_GB2312" w:hAnsi="仿宋_GB2312" w:eastAsia="仿宋_GB2312" w:cs="仿宋_GB2312"/>
          <w:sz w:val="32"/>
          <w:szCs w:val="32"/>
        </w:rPr>
        <w:t>0.16</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四、“三公经费”说明</w:t>
      </w:r>
    </w:p>
    <w:p>
      <w:pPr>
        <w:ind w:firstLine="600" w:firstLineChars="200"/>
        <w:rPr>
          <w:rFonts w:ascii="宋体" w:hAnsi="宋体"/>
          <w:sz w:val="32"/>
          <w:szCs w:val="32"/>
        </w:rPr>
      </w:pPr>
      <w:r>
        <w:rPr>
          <w:rFonts w:hint="eastAsia" w:ascii="仿宋_GB2312" w:hAnsi="宋体" w:eastAsia="仿宋_GB2312"/>
          <w:sz w:val="30"/>
          <w:szCs w:val="30"/>
        </w:rPr>
        <w:t>2016</w:t>
      </w:r>
      <w:r>
        <w:rPr>
          <w:rFonts w:hint="eastAsia" w:ascii="仿宋_GB2312" w:hAnsi="Calibri" w:eastAsia="仿宋_GB2312"/>
          <w:sz w:val="30"/>
          <w:szCs w:val="30"/>
        </w:rPr>
        <w:t>年“三公经费”预算安排共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lang w:val="en-US" w:eastAsia="zh-CN"/>
        </w:rPr>
        <w:t>,其中</w:t>
      </w:r>
      <w:r>
        <w:rPr>
          <w:rFonts w:hint="eastAsia" w:ascii="仿宋_GB2312" w:hAnsi="Calibri" w:eastAsia="仿宋_GB2312"/>
          <w:sz w:val="30"/>
          <w:szCs w:val="30"/>
        </w:rPr>
        <w:t>：因公出国（境）费预算安排0万元，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。公务用车购置及运行维护费预算安排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。公务接待费预算安排0万元</w:t>
      </w:r>
      <w:r>
        <w:rPr>
          <w:rFonts w:hint="eastAsia" w:ascii="仿宋_GB2312" w:hAnsi="Calibri" w:eastAsia="仿宋_GB2312"/>
          <w:sz w:val="30"/>
          <w:szCs w:val="30"/>
          <w:lang w:val="en-US" w:eastAsia="zh-CN"/>
        </w:rPr>
        <w:t>,</w:t>
      </w:r>
      <w:r>
        <w:rPr>
          <w:rFonts w:hint="eastAsia" w:ascii="仿宋_GB2312" w:hAnsi="Calibri" w:eastAsia="仿宋_GB2312"/>
          <w:sz w:val="30"/>
          <w:szCs w:val="30"/>
          <w:lang w:eastAsia="zh-CN"/>
        </w:rPr>
        <w:t>与上年持平</w:t>
      </w:r>
      <w:r>
        <w:rPr>
          <w:rFonts w:hint="eastAsia" w:ascii="宋体" w:hAnsi="宋体"/>
          <w:sz w:val="32"/>
          <w:szCs w:val="32"/>
        </w:rPr>
        <w:t>。</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五、其他需要说明的情况</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（一）关于“机关运行经费”支出的说明</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本部门为事业单位，无“机关运行经费”。</w:t>
      </w:r>
    </w:p>
    <w:p>
      <w:pPr>
        <w:ind w:firstLine="600" w:firstLineChars="200"/>
        <w:rPr>
          <w:rFonts w:ascii="仿宋_GB2312" w:hAnsi="仿宋_GB2312" w:eastAsia="仿宋_GB2312" w:cs="仿宋_GB2312"/>
          <w:b/>
          <w:sz w:val="32"/>
          <w:szCs w:val="32"/>
        </w:rPr>
      </w:pPr>
      <w:r>
        <w:rPr>
          <w:rFonts w:hint="eastAsia" w:ascii="仿宋_GB2312" w:hAnsi="仿宋_GB2312" w:eastAsia="仿宋_GB2312" w:cs="仿宋_GB2312"/>
          <w:spacing w:val="-10"/>
          <w:sz w:val="32"/>
          <w:szCs w:val="32"/>
        </w:rPr>
        <w:t>（二）</w:t>
      </w:r>
      <w:r>
        <w:rPr>
          <w:rFonts w:hint="eastAsia" w:ascii="仿宋_GB2312" w:hAnsi="仿宋_GB2312" w:eastAsia="仿宋_GB2312" w:cs="仿宋_GB2312"/>
          <w:b/>
          <w:sz w:val="32"/>
          <w:szCs w:val="32"/>
        </w:rPr>
        <w:t>关于政府采购支出说明：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政府采购安排为零。</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（三）</w:t>
      </w:r>
      <w:r>
        <w:rPr>
          <w:rFonts w:hint="eastAsia" w:ascii="仿宋_GB2312" w:hAnsi="仿宋_GB2312" w:eastAsia="仿宋_GB2312" w:cs="仿宋_GB2312"/>
          <w:b/>
          <w:bCs/>
          <w:sz w:val="32"/>
          <w:szCs w:val="32"/>
        </w:rPr>
        <w:t>国有资产占有使用情况</w:t>
      </w: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日，本部门共有车辆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w:t>
      </w:r>
      <w:bookmarkStart w:id="0" w:name="_GoBack"/>
      <w:bookmarkEnd w:id="0"/>
      <w:r>
        <w:rPr>
          <w:rFonts w:hint="eastAsia" w:ascii="仿宋_GB2312" w:hAnsi="仿宋_GB2312" w:eastAsia="仿宋_GB2312" w:cs="仿宋_GB2312"/>
          <w:sz w:val="32"/>
          <w:szCs w:val="32"/>
        </w:rPr>
        <w:t>单位价值</w:t>
      </w:r>
      <w:r>
        <w:rPr>
          <w:rFonts w:ascii="仿宋_GB2312" w:hAnsi="仿宋_GB2312" w:eastAsia="仿宋_GB2312" w:cs="仿宋_GB2312"/>
          <w:sz w:val="32"/>
          <w:szCs w:val="32"/>
        </w:rPr>
        <w:t>93.58</w:t>
      </w:r>
      <w:r>
        <w:rPr>
          <w:rFonts w:hint="eastAsia" w:ascii="仿宋_GB2312" w:hAnsi="仿宋_GB2312" w:eastAsia="仿宋_GB2312" w:cs="仿宋_GB2312"/>
          <w:sz w:val="32"/>
          <w:szCs w:val="32"/>
        </w:rPr>
        <w:t>万元以上大型设备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spacing w:line="500" w:lineRule="exact"/>
        <w:ind w:firstLine="600" w:firstLineChars="200"/>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（四）</w:t>
      </w:r>
      <w:r>
        <w:rPr>
          <w:rFonts w:hint="eastAsia" w:ascii="仿宋_GB2312" w:hAnsi="仿宋_GB2312" w:eastAsia="仿宋_GB2312" w:cs="仿宋_GB2312"/>
          <w:b/>
          <w:bCs/>
          <w:sz w:val="32"/>
          <w:szCs w:val="32"/>
        </w:rPr>
        <w:t>重点项目预算绩效目标设置情况</w:t>
      </w:r>
      <w:r>
        <w:rPr>
          <w:rFonts w:hint="eastAsia" w:ascii="仿宋_GB2312" w:hAnsi="仿宋_GB2312" w:eastAsia="仿宋_GB2312" w:cs="仿宋_GB2312"/>
          <w:sz w:val="32"/>
          <w:szCs w:val="32"/>
        </w:rPr>
        <w:t>：无</w:t>
      </w:r>
    </w:p>
    <w:p>
      <w:pPr>
        <w:widowControl/>
        <w:shd w:val="clear" w:color="auto" w:fill="FFFFFF"/>
        <w:spacing w:line="500" w:lineRule="atLeast"/>
        <w:ind w:firstLine="630"/>
        <w:rPr>
          <w:rFonts w:ascii="仿宋_GB2312" w:hAnsi="仿宋_GB2312" w:eastAsia="仿宋_GB2312" w:cs="仿宋_GB2312"/>
          <w:color w:val="000000"/>
          <w:sz w:val="32"/>
          <w:szCs w:val="32"/>
        </w:rPr>
      </w:pPr>
      <w:r>
        <w:rPr>
          <w:rFonts w:hint="eastAsia" w:ascii="仿宋_GB2312" w:hAnsi="仿宋_GB2312" w:eastAsia="仿宋_GB2312" w:cs="仿宋_GB2312"/>
          <w:spacing w:val="-10"/>
          <w:sz w:val="32"/>
          <w:szCs w:val="32"/>
        </w:rPr>
        <w:t>（五）</w:t>
      </w:r>
      <w:r>
        <w:rPr>
          <w:rFonts w:hint="eastAsia" w:ascii="仿宋_GB2312" w:hAnsi="仿宋_GB2312" w:eastAsia="仿宋_GB2312" w:cs="仿宋_GB2312"/>
          <w:b/>
          <w:bCs/>
          <w:color w:val="000000"/>
          <w:kern w:val="0"/>
          <w:sz w:val="32"/>
          <w:szCs w:val="32"/>
          <w:shd w:val="clear" w:color="auto" w:fill="FFFFFF"/>
        </w:rPr>
        <w:t>专业性较强的名词解释</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shd w:val="clear" w:color="auto" w:fill="FFFFFF"/>
        </w:rPr>
        <w:t>无。</w:t>
      </w:r>
    </w:p>
    <w:p>
      <w:pPr>
        <w:spacing w:line="500" w:lineRule="exact"/>
        <w:rPr>
          <w:rFonts w:ascii="仿宋_GB2312" w:hAnsi="仿宋_GB2312" w:eastAsia="仿宋_GB2312" w:cs="仿宋_GB2312"/>
          <w:sz w:val="32"/>
          <w:szCs w:val="32"/>
        </w:rPr>
      </w:pPr>
    </w:p>
    <w:sectPr>
      <w:head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0DB23"/>
    <w:multiLevelType w:val="singleLevel"/>
    <w:tmpl w:val="5AB0DB23"/>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14F0"/>
    <w:rsid w:val="00035FBD"/>
    <w:rsid w:val="000365A0"/>
    <w:rsid w:val="00041B48"/>
    <w:rsid w:val="000436EA"/>
    <w:rsid w:val="000C08A2"/>
    <w:rsid w:val="000D1849"/>
    <w:rsid w:val="000D1AD5"/>
    <w:rsid w:val="000F2E34"/>
    <w:rsid w:val="00101364"/>
    <w:rsid w:val="00111D57"/>
    <w:rsid w:val="00117B8F"/>
    <w:rsid w:val="00131A36"/>
    <w:rsid w:val="0017767B"/>
    <w:rsid w:val="001848AB"/>
    <w:rsid w:val="0019167A"/>
    <w:rsid w:val="001A62D7"/>
    <w:rsid w:val="001A760E"/>
    <w:rsid w:val="001D2453"/>
    <w:rsid w:val="00222D50"/>
    <w:rsid w:val="00236A06"/>
    <w:rsid w:val="00252249"/>
    <w:rsid w:val="00266742"/>
    <w:rsid w:val="00271072"/>
    <w:rsid w:val="00280BC7"/>
    <w:rsid w:val="0028591B"/>
    <w:rsid w:val="002A69DA"/>
    <w:rsid w:val="002C46BD"/>
    <w:rsid w:val="002D2E4D"/>
    <w:rsid w:val="002E6A6D"/>
    <w:rsid w:val="002F3C43"/>
    <w:rsid w:val="003039DD"/>
    <w:rsid w:val="003164F1"/>
    <w:rsid w:val="003304DA"/>
    <w:rsid w:val="00351DA6"/>
    <w:rsid w:val="00360035"/>
    <w:rsid w:val="0038115A"/>
    <w:rsid w:val="00383DF7"/>
    <w:rsid w:val="00394F10"/>
    <w:rsid w:val="003D5742"/>
    <w:rsid w:val="004038A5"/>
    <w:rsid w:val="00425E92"/>
    <w:rsid w:val="00467D47"/>
    <w:rsid w:val="0048633A"/>
    <w:rsid w:val="004956D7"/>
    <w:rsid w:val="004A57B4"/>
    <w:rsid w:val="004D4EFB"/>
    <w:rsid w:val="004D7796"/>
    <w:rsid w:val="004E3B1F"/>
    <w:rsid w:val="004E477C"/>
    <w:rsid w:val="00513A88"/>
    <w:rsid w:val="00540747"/>
    <w:rsid w:val="00552EC5"/>
    <w:rsid w:val="005967DA"/>
    <w:rsid w:val="005F088B"/>
    <w:rsid w:val="005F4CEA"/>
    <w:rsid w:val="0065390B"/>
    <w:rsid w:val="00663D75"/>
    <w:rsid w:val="00665873"/>
    <w:rsid w:val="0066604A"/>
    <w:rsid w:val="00676A13"/>
    <w:rsid w:val="00677B74"/>
    <w:rsid w:val="00691C5E"/>
    <w:rsid w:val="006974DC"/>
    <w:rsid w:val="006C2A44"/>
    <w:rsid w:val="006E5365"/>
    <w:rsid w:val="00704AA5"/>
    <w:rsid w:val="00741CE3"/>
    <w:rsid w:val="00753CB4"/>
    <w:rsid w:val="0076087A"/>
    <w:rsid w:val="007C04AA"/>
    <w:rsid w:val="007C0EDA"/>
    <w:rsid w:val="007C3F3F"/>
    <w:rsid w:val="007E2506"/>
    <w:rsid w:val="007F5E9F"/>
    <w:rsid w:val="00805EA0"/>
    <w:rsid w:val="00810BCA"/>
    <w:rsid w:val="00835A16"/>
    <w:rsid w:val="00863ECF"/>
    <w:rsid w:val="0087692E"/>
    <w:rsid w:val="00895A57"/>
    <w:rsid w:val="00897BF5"/>
    <w:rsid w:val="008A0BA9"/>
    <w:rsid w:val="008C1BC3"/>
    <w:rsid w:val="008F5307"/>
    <w:rsid w:val="009027F1"/>
    <w:rsid w:val="00915D64"/>
    <w:rsid w:val="00916055"/>
    <w:rsid w:val="00931F2D"/>
    <w:rsid w:val="00937B66"/>
    <w:rsid w:val="00941B91"/>
    <w:rsid w:val="00967EC2"/>
    <w:rsid w:val="009750A6"/>
    <w:rsid w:val="009914C4"/>
    <w:rsid w:val="009A06ED"/>
    <w:rsid w:val="009A74C9"/>
    <w:rsid w:val="009B3A9A"/>
    <w:rsid w:val="009D02BF"/>
    <w:rsid w:val="009E7032"/>
    <w:rsid w:val="00A40917"/>
    <w:rsid w:val="00A52225"/>
    <w:rsid w:val="00A5433C"/>
    <w:rsid w:val="00A94C88"/>
    <w:rsid w:val="00AA5328"/>
    <w:rsid w:val="00AB0476"/>
    <w:rsid w:val="00AB1817"/>
    <w:rsid w:val="00AC0126"/>
    <w:rsid w:val="00AD006E"/>
    <w:rsid w:val="00B21EE0"/>
    <w:rsid w:val="00B348C9"/>
    <w:rsid w:val="00B536D9"/>
    <w:rsid w:val="00B6036E"/>
    <w:rsid w:val="00B66D2C"/>
    <w:rsid w:val="00B72DC5"/>
    <w:rsid w:val="00B83D79"/>
    <w:rsid w:val="00C019E2"/>
    <w:rsid w:val="00C1380C"/>
    <w:rsid w:val="00C36840"/>
    <w:rsid w:val="00C47C62"/>
    <w:rsid w:val="00C53A73"/>
    <w:rsid w:val="00C57DBF"/>
    <w:rsid w:val="00C7439B"/>
    <w:rsid w:val="00C93045"/>
    <w:rsid w:val="00C942BE"/>
    <w:rsid w:val="00CB4CA5"/>
    <w:rsid w:val="00CB6767"/>
    <w:rsid w:val="00CE621D"/>
    <w:rsid w:val="00CF4F75"/>
    <w:rsid w:val="00CF7788"/>
    <w:rsid w:val="00D1642F"/>
    <w:rsid w:val="00D33A64"/>
    <w:rsid w:val="00D35341"/>
    <w:rsid w:val="00D714F0"/>
    <w:rsid w:val="00D7508F"/>
    <w:rsid w:val="00DB7182"/>
    <w:rsid w:val="00DC1301"/>
    <w:rsid w:val="00DE71AA"/>
    <w:rsid w:val="00DF42C5"/>
    <w:rsid w:val="00E01817"/>
    <w:rsid w:val="00E15A50"/>
    <w:rsid w:val="00E235BE"/>
    <w:rsid w:val="00E314A4"/>
    <w:rsid w:val="00E616F0"/>
    <w:rsid w:val="00E62347"/>
    <w:rsid w:val="00E67FCC"/>
    <w:rsid w:val="00E7499D"/>
    <w:rsid w:val="00E82E0F"/>
    <w:rsid w:val="00E871B5"/>
    <w:rsid w:val="00E964CB"/>
    <w:rsid w:val="00ED5DF9"/>
    <w:rsid w:val="00F16A10"/>
    <w:rsid w:val="00F41C4C"/>
    <w:rsid w:val="00F56510"/>
    <w:rsid w:val="00F738B9"/>
    <w:rsid w:val="00F92A2A"/>
    <w:rsid w:val="00F945DE"/>
    <w:rsid w:val="00FA029D"/>
    <w:rsid w:val="00FA1132"/>
    <w:rsid w:val="00FD01FA"/>
    <w:rsid w:val="00FE6C1F"/>
    <w:rsid w:val="01FF58AD"/>
    <w:rsid w:val="07A7375C"/>
    <w:rsid w:val="0C7F7266"/>
    <w:rsid w:val="11126E8A"/>
    <w:rsid w:val="140D37EA"/>
    <w:rsid w:val="17912F0C"/>
    <w:rsid w:val="1ED47A76"/>
    <w:rsid w:val="1F23417E"/>
    <w:rsid w:val="26BC50DA"/>
    <w:rsid w:val="318D2FEA"/>
    <w:rsid w:val="351340E9"/>
    <w:rsid w:val="39175EE9"/>
    <w:rsid w:val="3AAD67BD"/>
    <w:rsid w:val="3EE76EDE"/>
    <w:rsid w:val="4B5A5F13"/>
    <w:rsid w:val="51B91EF3"/>
    <w:rsid w:val="54C553FD"/>
    <w:rsid w:val="5CAA4FF9"/>
    <w:rsid w:val="5CD425A9"/>
    <w:rsid w:val="60AE5E65"/>
    <w:rsid w:val="6F06301C"/>
    <w:rsid w:val="76B725E4"/>
    <w:rsid w:val="7BEC2F5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脚 Char"/>
    <w:basedOn w:val="4"/>
    <w:link w:val="2"/>
    <w:locked/>
    <w:uiPriority w:val="99"/>
    <w:rPr>
      <w:rFonts w:ascii="Times New Roman" w:hAnsi="Times New Roman" w:eastAsia="宋体" w:cs="Times New Roman"/>
      <w:sz w:val="18"/>
      <w:szCs w:val="18"/>
    </w:rPr>
  </w:style>
  <w:style w:type="character" w:customStyle="1" w:styleId="8">
    <w:name w:val="页眉 Char"/>
    <w:basedOn w:val="4"/>
    <w:link w:val="3"/>
    <w:qFormat/>
    <w:locked/>
    <w:uiPriority w:val="99"/>
    <w:rPr>
      <w:rFonts w:ascii="Times New Roman" w:hAnsi="Times New Roman" w:eastAsia="宋体" w:cs="Times New Roman"/>
      <w:sz w:val="18"/>
      <w:szCs w:val="18"/>
    </w:rPr>
  </w:style>
  <w:style w:type="paragraph" w:customStyle="1" w:styleId="9">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203</Words>
  <Characters>1160</Characters>
  <Lines>9</Lines>
  <Paragraphs>2</Paragraphs>
  <TotalTime>0</TotalTime>
  <ScaleCrop>false</ScaleCrop>
  <LinksUpToDate>false</LinksUpToDate>
  <CharactersWithSpaces>1361</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2018-03-29T10:32:00Z</dcterms:created>
  <dc:creator>Administrator</dc:creator>
  <cp:lastModifiedBy>Administrator</cp:lastModifiedBy>
  <dcterms:modified xsi:type="dcterms:W3CDTF">2018-04-12T07:45:21Z</dcterms:modified>
  <dc:title>2016年</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