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ascii="方正小标宋简体" w:hAnsi="方正小标宋简体" w:eastAsia="方正小标宋简体" w:cs="方正小标宋简体"/>
          <w:sz w:val="84"/>
          <w:szCs w:val="84"/>
        </w:rPr>
        <w:t>2016</w:t>
      </w: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年</w:t>
      </w: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霞山区机关事务管理局部门预算</w:t>
      </w: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目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第一部分</w:t>
      </w:r>
      <w:r>
        <w:rPr>
          <w:rFonts w:ascii="黑体" w:hAnsi="黑体" w:eastAsia="黑体" w:cs="黑体"/>
          <w:sz w:val="32"/>
          <w:szCs w:val="32"/>
        </w:rPr>
        <w:t xml:space="preserve">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机关事务管理局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部门预算基本情况说明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（一）主要职责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（二）机构设置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二、收入预算说明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三、支出预算说明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三公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经费说明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五、其他需要说明的情况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（一）机关运行经费情况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（二）政府采购安排情况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（三）国有资产占有使用情况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（四）重点项目预算绩效目标设置情况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（五）专业名词解释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第二部分</w:t>
      </w:r>
      <w:r>
        <w:rPr>
          <w:rFonts w:ascii="黑体" w:hAnsi="黑体" w:eastAsia="黑体" w:cs="黑体"/>
          <w:sz w:val="32"/>
          <w:szCs w:val="32"/>
        </w:rPr>
        <w:t xml:space="preserve"> 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ascii="黑体" w:hAnsi="黑体" w:eastAsia="黑体" w:cs="黑体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</w:rPr>
        <w:t>机关事务管理局</w:t>
      </w:r>
      <w:r>
        <w:rPr>
          <w:rFonts w:ascii="黑体" w:hAnsi="黑体" w:eastAsia="黑体" w:cs="黑体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</w:rPr>
        <w:t>部门预算表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年财政拨款收支总表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年一般公共预算基本支出表（部门经济分类）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年一般公共预算“三公”经费支出表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年政府性基金预算支出表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七、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年部门收入表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八、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年部门支出表</w:t>
      </w: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2016</w:t>
      </w:r>
      <w:r>
        <w:rPr>
          <w:rFonts w:hint="eastAsia" w:ascii="宋体" w:hAnsi="宋体"/>
          <w:b/>
          <w:sz w:val="44"/>
          <w:szCs w:val="44"/>
        </w:rPr>
        <w:t>年霞山区机关事务管理局</w:t>
      </w:r>
      <w:r>
        <w:rPr>
          <w:rFonts w:hint="eastAsia" w:ascii="宋体" w:hAnsi="宋体"/>
          <w:b/>
          <w:sz w:val="44"/>
          <w:szCs w:val="44"/>
          <w:lang w:eastAsia="zh-CN"/>
        </w:rPr>
        <w:t>部门</w:t>
      </w:r>
      <w:r>
        <w:rPr>
          <w:rFonts w:hint="eastAsia" w:ascii="宋体" w:hAnsi="宋体"/>
          <w:b/>
          <w:sz w:val="44"/>
          <w:szCs w:val="44"/>
        </w:rPr>
        <w:t>预算</w:t>
      </w:r>
      <w:r>
        <w:rPr>
          <w:rFonts w:hint="eastAsia" w:ascii="宋体" w:hAnsi="宋体"/>
          <w:b/>
          <w:sz w:val="44"/>
          <w:szCs w:val="44"/>
          <w:lang w:eastAsia="zh-CN"/>
        </w:rPr>
        <w:t>基本</w:t>
      </w:r>
      <w:r>
        <w:rPr>
          <w:rFonts w:hint="eastAsia" w:ascii="宋体" w:hAnsi="宋体"/>
          <w:b/>
          <w:sz w:val="44"/>
          <w:szCs w:val="44"/>
        </w:rPr>
        <w:t>情况说明</w:t>
      </w:r>
    </w:p>
    <w:p>
      <w:pPr>
        <w:spacing w:line="360" w:lineRule="auto"/>
        <w:jc w:val="center"/>
        <w:rPr>
          <w:rFonts w:ascii="宋体"/>
          <w:b/>
          <w:bCs/>
          <w:sz w:val="36"/>
          <w:szCs w:val="36"/>
        </w:rPr>
      </w:pPr>
    </w:p>
    <w:p>
      <w:pPr>
        <w:snapToGrid w:val="0"/>
        <w:spacing w:line="500" w:lineRule="exact"/>
        <w:ind w:firstLine="803" w:firstLineChars="25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一、部门基本情况</w:t>
      </w:r>
    </w:p>
    <w:p>
      <w:pPr>
        <w:snapToGrid w:val="0"/>
        <w:spacing w:line="500" w:lineRule="exact"/>
        <w:ind w:firstLine="803" w:firstLineChars="25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（一）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主要职责</w:t>
      </w:r>
    </w:p>
    <w:p>
      <w:pPr>
        <w:snapToGrid w:val="0"/>
        <w:spacing w:line="500" w:lineRule="exact"/>
        <w:ind w:firstLine="700" w:firstLineChars="250"/>
        <w:rPr>
          <w:rFonts w:ascii="仿宋_GB2312" w:hAnsi="宋体" w:eastAsia="仿宋_GB2312"/>
          <w:szCs w:val="28"/>
        </w:rPr>
      </w:pPr>
      <w:r>
        <w:rPr>
          <w:rFonts w:hint="eastAsia" w:ascii="仿宋_GB2312" w:hAnsi="宋体" w:eastAsia="仿宋_GB2312"/>
          <w:szCs w:val="28"/>
        </w:rPr>
        <w:t>我局是全区后勤工作主管部门，其中包括车队、接待、保卫、房管、会务、卫生、</w:t>
      </w:r>
    </w:p>
    <w:p>
      <w:pPr>
        <w:snapToGrid w:val="0"/>
        <w:spacing w:line="500" w:lineRule="exact"/>
        <w:ind w:firstLine="700" w:firstLineChars="250"/>
        <w:rPr>
          <w:rFonts w:ascii="仿宋_GB2312" w:hAnsi="宋体" w:eastAsia="仿宋_GB2312"/>
          <w:szCs w:val="28"/>
        </w:rPr>
      </w:pPr>
      <w:r>
        <w:rPr>
          <w:rFonts w:hint="eastAsia" w:ascii="仿宋_GB2312" w:hAnsi="宋体" w:eastAsia="仿宋_GB2312"/>
          <w:szCs w:val="28"/>
        </w:rPr>
        <w:t>收发、文印、维修、房产基建和区委区政府交办的其他事项等。</w:t>
      </w:r>
    </w:p>
    <w:p>
      <w:pPr>
        <w:snapToGrid w:val="0"/>
        <w:spacing w:line="500" w:lineRule="exact"/>
        <w:ind w:left="840" w:leftChars="300"/>
        <w:rPr>
          <w:rFonts w:ascii="仿宋_GB2312" w:hAnsi="宋体" w:eastAsia="仿宋_GB2312"/>
          <w:b/>
          <w:szCs w:val="28"/>
        </w:rPr>
      </w:pPr>
      <w:r>
        <w:rPr>
          <w:rFonts w:hint="eastAsia" w:ascii="仿宋_GB2312" w:eastAsia="仿宋_GB2312"/>
          <w:b/>
          <w:sz w:val="32"/>
          <w:szCs w:val="32"/>
        </w:rPr>
        <w:t>（二）</w:t>
      </w:r>
      <w:r>
        <w:rPr>
          <w:rFonts w:hint="eastAsia" w:ascii="仿宋_GB2312" w:hAnsi="宋体" w:eastAsia="仿宋_GB2312"/>
          <w:b/>
          <w:szCs w:val="28"/>
        </w:rPr>
        <w:t>机构设置</w:t>
      </w:r>
    </w:p>
    <w:p>
      <w:pPr>
        <w:snapToGrid w:val="0"/>
        <w:spacing w:line="500" w:lineRule="exact"/>
        <w:ind w:firstLine="562" w:firstLineChars="200"/>
        <w:rPr>
          <w:rFonts w:ascii="仿宋_GB2312" w:hAnsi="宋体" w:eastAsia="仿宋_GB2312"/>
          <w:b/>
          <w:szCs w:val="28"/>
        </w:rPr>
      </w:pPr>
      <w:r>
        <w:rPr>
          <w:rFonts w:hint="eastAsia" w:ascii="仿宋_GB2312" w:hAnsi="宋体" w:eastAsia="仿宋_GB2312"/>
          <w:b/>
          <w:szCs w:val="28"/>
        </w:rPr>
        <w:t>本部门无下属单位，部门预算为本级预算。</w:t>
      </w:r>
    </w:p>
    <w:p>
      <w:pPr>
        <w:snapToGrid w:val="0"/>
        <w:spacing w:line="500" w:lineRule="exact"/>
        <w:rPr>
          <w:rFonts w:ascii="仿宋_GB2312" w:hAnsi="宋体" w:eastAsia="仿宋_GB2312"/>
          <w:szCs w:val="28"/>
        </w:rPr>
      </w:pPr>
      <w:r>
        <w:rPr>
          <w:rFonts w:hint="eastAsia" w:ascii="仿宋_GB2312" w:hAnsi="宋体" w:eastAsia="仿宋_GB2312"/>
          <w:szCs w:val="28"/>
        </w:rPr>
        <w:t xml:space="preserve">    机关事务局设办公室、房管股、治安保卫股、综合服务股、车队等5个职能股。</w:t>
      </w:r>
    </w:p>
    <w:p>
      <w:pPr>
        <w:spacing w:line="440" w:lineRule="exact"/>
        <w:ind w:firstLine="560" w:firstLineChars="200"/>
        <w:rPr>
          <w:rFonts w:ascii="宋体"/>
          <w:szCs w:val="28"/>
        </w:rPr>
      </w:pPr>
      <w:r>
        <w:rPr>
          <w:rFonts w:hint="eastAsia" w:ascii="仿宋_GB2312" w:hAnsi="宋体" w:eastAsia="仿宋_GB2312"/>
          <w:szCs w:val="28"/>
        </w:rPr>
        <w:t>在职人员43， 退休7人</w:t>
      </w:r>
      <w:r>
        <w:rPr>
          <w:rFonts w:hint="eastAsia" w:ascii="宋体" w:hAnsi="宋体"/>
          <w:szCs w:val="28"/>
        </w:rPr>
        <w:t>。</w:t>
      </w:r>
    </w:p>
    <w:p>
      <w:pPr>
        <w:spacing w:line="50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二、收入预算说明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年收入预算</w:t>
      </w:r>
      <w:r>
        <w:rPr>
          <w:rFonts w:ascii="仿宋_GB2312" w:hAnsi="仿宋_GB2312" w:eastAsia="仿宋_GB2312" w:cs="仿宋_GB2312"/>
          <w:sz w:val="32"/>
          <w:szCs w:val="32"/>
        </w:rPr>
        <w:t>1230.41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万元，同比增加</w:t>
      </w:r>
      <w:r>
        <w:rPr>
          <w:rFonts w:ascii="仿宋_GB2312" w:hAnsi="仿宋_GB2312" w:eastAsia="仿宋_GB2312" w:cs="仿宋_GB2312"/>
          <w:sz w:val="32"/>
          <w:szCs w:val="32"/>
        </w:rPr>
        <w:t>450.44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万元。增长57.7%。收入增加的原因的由于工资福利支出和对个人和家庭的补助增加。其中：预算经费安排拨款</w:t>
      </w:r>
      <w:r>
        <w:rPr>
          <w:rFonts w:ascii="仿宋_GB2312" w:hAnsi="仿宋_GB2312" w:eastAsia="仿宋_GB2312" w:cs="仿宋_GB2312"/>
          <w:sz w:val="32"/>
          <w:szCs w:val="32"/>
        </w:rPr>
        <w:t>1230.41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万元，其他非税收入安排拨款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三、支出预算说明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年支出预算</w:t>
      </w:r>
      <w:r>
        <w:rPr>
          <w:rFonts w:ascii="仿宋_GB2312" w:hAnsi="仿宋_GB2312" w:eastAsia="仿宋_GB2312" w:cs="仿宋_GB2312"/>
          <w:sz w:val="32"/>
          <w:szCs w:val="32"/>
        </w:rPr>
        <w:t>1230.41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万元，同比增加</w:t>
      </w:r>
      <w:r>
        <w:rPr>
          <w:rFonts w:ascii="仿宋_GB2312" w:hAnsi="仿宋_GB2312" w:eastAsia="仿宋_GB2312" w:cs="仿宋_GB2312"/>
          <w:sz w:val="32"/>
          <w:szCs w:val="32"/>
        </w:rPr>
        <w:t>450.44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万元。增长57.7%。支出增加的原因的由于工资福利支出和对个人和家庭的补助增加。支出按经济分类划分：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、基本支出预算</w:t>
      </w:r>
      <w:r>
        <w:rPr>
          <w:rFonts w:ascii="仿宋_GB2312" w:hAnsi="仿宋_GB2312" w:eastAsia="仿宋_GB2312" w:cs="仿宋_GB2312"/>
          <w:sz w:val="32"/>
          <w:szCs w:val="32"/>
        </w:rPr>
        <w:t>470.05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万元，其中：工资福利支出</w:t>
      </w:r>
      <w:r>
        <w:rPr>
          <w:rFonts w:ascii="仿宋_GB2312" w:hAnsi="仿宋_GB2312" w:eastAsia="仿宋_GB2312" w:cs="仿宋_GB2312"/>
          <w:sz w:val="32"/>
          <w:szCs w:val="32"/>
        </w:rPr>
        <w:t>307.47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万元，对个人和家庭的补助支出</w:t>
      </w:r>
      <w:r>
        <w:rPr>
          <w:rFonts w:ascii="仿宋_GB2312" w:hAnsi="仿宋_GB2312" w:eastAsia="仿宋_GB2312" w:cs="仿宋_GB2312"/>
          <w:sz w:val="32"/>
          <w:szCs w:val="32"/>
        </w:rPr>
        <w:t>57.65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万元，一般商品和服务支出</w:t>
      </w:r>
      <w:r>
        <w:rPr>
          <w:rFonts w:ascii="仿宋_GB2312" w:hAnsi="仿宋_GB2312" w:eastAsia="仿宋_GB2312" w:cs="仿宋_GB2312"/>
          <w:sz w:val="32"/>
          <w:szCs w:val="32"/>
        </w:rPr>
        <w:t>104.93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、项目支出预算</w:t>
      </w:r>
      <w:r>
        <w:rPr>
          <w:rFonts w:ascii="仿宋_GB2312" w:hAnsi="仿宋_GB2312" w:eastAsia="仿宋_GB2312" w:cs="仿宋_GB2312"/>
          <w:sz w:val="32"/>
          <w:szCs w:val="32"/>
        </w:rPr>
        <w:t>93.06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四、“三公经费”说明</w:t>
      </w:r>
    </w:p>
    <w:p>
      <w:pPr>
        <w:ind w:firstLine="640" w:firstLineChars="200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2016</w:t>
      </w:r>
      <w:r>
        <w:rPr>
          <w:rFonts w:hint="eastAsia" w:ascii="仿宋_GB2312" w:hAnsi="Calibri" w:eastAsia="仿宋_GB2312"/>
          <w:sz w:val="32"/>
          <w:szCs w:val="32"/>
        </w:rPr>
        <w:t>年“三公经费”预算安排共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83</w:t>
      </w:r>
      <w:r>
        <w:rPr>
          <w:rFonts w:hint="eastAsia" w:ascii="仿宋_GB2312" w:hAnsi="Calibri" w:eastAsia="仿宋_GB2312"/>
          <w:sz w:val="32"/>
          <w:szCs w:val="32"/>
        </w:rPr>
        <w:t>万元，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比上年增加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83万元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，主要原因是车改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,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其中</w:t>
      </w:r>
      <w:r>
        <w:rPr>
          <w:rFonts w:hint="eastAsia" w:ascii="仿宋_GB2312" w:hAnsi="Calibri" w:eastAsia="仿宋_GB2312"/>
          <w:sz w:val="32"/>
          <w:szCs w:val="32"/>
        </w:rPr>
        <w:t>：因公出国（境）费预算安排0万元，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与上年保持一致</w:t>
      </w:r>
      <w:r>
        <w:rPr>
          <w:rFonts w:hint="eastAsia" w:ascii="仿宋_GB2312" w:hAnsi="Calibri" w:eastAsia="仿宋_GB2312"/>
          <w:sz w:val="32"/>
          <w:szCs w:val="32"/>
        </w:rPr>
        <w:t>。公务用车购置及运行维护费预算安排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83</w:t>
      </w:r>
      <w:r>
        <w:rPr>
          <w:rFonts w:hint="eastAsia" w:ascii="仿宋_GB2312" w:hAnsi="Calibri" w:eastAsia="仿宋_GB2312"/>
          <w:sz w:val="32"/>
          <w:szCs w:val="32"/>
        </w:rPr>
        <w:t>万元，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比上年增加</w:t>
      </w:r>
      <w:r>
        <w:rPr>
          <w:rFonts w:hint="eastAsia" w:ascii="仿宋_GB2312" w:hAnsi="Calibri" w:eastAsia="仿宋_GB2312"/>
          <w:sz w:val="32"/>
          <w:szCs w:val="32"/>
          <w:lang w:val="en-US" w:eastAsia="zh-CN"/>
        </w:rPr>
        <w:t>83万元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，主要原因是车改</w:t>
      </w:r>
      <w:r>
        <w:rPr>
          <w:rFonts w:hint="eastAsia" w:ascii="仿宋_GB2312" w:hAnsi="Calibri" w:eastAsia="仿宋_GB2312"/>
          <w:sz w:val="32"/>
          <w:szCs w:val="32"/>
        </w:rPr>
        <w:t>。公务接待费预算安排0万元</w:t>
      </w:r>
      <w:r>
        <w:rPr>
          <w:rFonts w:hint="eastAsia" w:ascii="仿宋_GB2312" w:hAnsi="Calibri" w:eastAsia="仿宋_GB2312"/>
          <w:sz w:val="32"/>
          <w:szCs w:val="32"/>
          <w:lang w:eastAsia="zh-CN"/>
        </w:rPr>
        <w:t>，与上年保持一致</w:t>
      </w:r>
      <w:r>
        <w:rPr>
          <w:rFonts w:hint="eastAsia" w:ascii="仿宋_GB2312" w:hAnsi="Calibri" w:eastAsia="仿宋_GB2312"/>
          <w:sz w:val="32"/>
          <w:szCs w:val="32"/>
        </w:rPr>
        <w:t>。</w:t>
      </w:r>
    </w:p>
    <w:p>
      <w:pPr>
        <w:spacing w:line="500" w:lineRule="exact"/>
        <w:ind w:firstLine="643" w:firstLineChars="200"/>
        <w:rPr>
          <w:rFonts w:ascii="宋体"/>
          <w:b/>
          <w:sz w:val="32"/>
          <w:szCs w:val="32"/>
        </w:rPr>
      </w:pPr>
      <w:r>
        <w:rPr>
          <w:rFonts w:hint="eastAsia" w:ascii="宋体"/>
          <w:b/>
          <w:sz w:val="32"/>
          <w:szCs w:val="32"/>
        </w:rPr>
        <w:t>五、其他需要说明的情况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（一）关于“机关运行经费”支出的说明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年“机关运行经费”支出</w:t>
      </w:r>
      <w:r>
        <w:rPr>
          <w:rFonts w:ascii="仿宋_GB2312" w:hAnsi="仿宋_GB2312" w:eastAsia="仿宋_GB2312" w:cs="仿宋_GB2312"/>
          <w:sz w:val="32"/>
          <w:szCs w:val="32"/>
        </w:rPr>
        <w:t>104.93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万元，同比增加</w:t>
      </w:r>
      <w:r>
        <w:rPr>
          <w:rFonts w:ascii="仿宋_GB2312" w:hAnsi="仿宋_GB2312" w:eastAsia="仿宋_GB2312" w:cs="仿宋_GB2312"/>
          <w:sz w:val="32"/>
          <w:szCs w:val="32"/>
        </w:rPr>
        <w:t>88.13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万元，支出增加的主要原因的公务用车运行维护费、其他交通费用的增加。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其中：</w:t>
      </w:r>
      <w:r>
        <w:rPr>
          <w:rFonts w:hint="eastAsia" w:ascii="仿宋_GB2312" w:hAnsi="仿宋_GB2312" w:eastAsia="仿宋_GB2312" w:cs="仿宋_GB2312"/>
          <w:sz w:val="32"/>
          <w:szCs w:val="32"/>
        </w:rPr>
        <w:t>其他交通费用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6.18万元,办公费15.75万元,公务用车运行费83万元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（二）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关于政府采购支出说明：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政府采购安排为零。</w:t>
      </w:r>
    </w:p>
    <w:p>
      <w:pPr>
        <w:spacing w:line="580" w:lineRule="exact"/>
        <w:ind w:firstLine="602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（三）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国有资产占有使用情况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：截至</w:t>
      </w:r>
      <w:r>
        <w:rPr>
          <w:rFonts w:ascii="仿宋_GB2312" w:hAnsi="仿宋_GB2312" w:eastAsia="仿宋_GB2312" w:cs="仿宋_GB2312"/>
          <w:sz w:val="32"/>
          <w:szCs w:val="32"/>
        </w:rPr>
        <w:t>2015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ascii="仿宋_GB2312" w:hAnsi="仿宋_GB2312" w:eastAsia="仿宋_GB2312" w:cs="仿宋_GB2312"/>
          <w:sz w:val="32"/>
          <w:szCs w:val="32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ascii="仿宋_GB2312" w:hAnsi="仿宋_GB2312" w:eastAsia="仿宋_GB2312" w:cs="仿宋_GB2312"/>
          <w:sz w:val="32"/>
          <w:szCs w:val="32"/>
        </w:rPr>
        <w:t>31</w:t>
      </w:r>
      <w:r>
        <w:rPr>
          <w:rFonts w:hint="eastAsia" w:ascii="仿宋_GB2312" w:hAnsi="仿宋_GB2312" w:eastAsia="仿宋_GB2312" w:cs="仿宋_GB2312"/>
          <w:sz w:val="32"/>
          <w:szCs w:val="32"/>
        </w:rPr>
        <w:t>日，本部门国有资产总额为4957.8万元。本部门共有车辆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6辆，全部均为一般公务用车，由于公务用车改革，使用管理权均为区机关事务局所有；单位价值20万元以上大型设备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台（套）。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（四）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重点项目预算绩效目标设置情况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：无</w:t>
      </w:r>
    </w:p>
    <w:p>
      <w:pPr>
        <w:widowControl/>
        <w:shd w:val="clear" w:color="auto" w:fill="FFFFFF"/>
        <w:spacing w:line="500" w:lineRule="atLeast"/>
        <w:ind w:firstLine="63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（五）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shd w:val="clear" w:color="auto" w:fill="FFFFFF"/>
        </w:rPr>
        <w:t>专业性较强的名词解释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无。</w:t>
      </w:r>
    </w:p>
    <w:p>
      <w:pPr>
        <w:spacing w:line="500" w:lineRule="exact"/>
        <w:rPr>
          <w:rFonts w:ascii="仿宋_GB2312" w:hAnsi="仿宋_GB2312" w:eastAsia="仿宋_GB2312" w:cs="仿宋_GB2312"/>
          <w:sz w:val="32"/>
          <w:szCs w:val="32"/>
        </w:rPr>
      </w:pPr>
    </w:p>
    <w:sectPr>
      <w:head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0DB23"/>
    <w:multiLevelType w:val="singleLevel"/>
    <w:tmpl w:val="5AB0DB23"/>
    <w:lvl w:ilvl="0" w:tentative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14F0"/>
    <w:rsid w:val="000D1AD5"/>
    <w:rsid w:val="00101364"/>
    <w:rsid w:val="0019167A"/>
    <w:rsid w:val="001D2E42"/>
    <w:rsid w:val="00236A06"/>
    <w:rsid w:val="00242C0C"/>
    <w:rsid w:val="00280BC7"/>
    <w:rsid w:val="002E6A6D"/>
    <w:rsid w:val="002F67B5"/>
    <w:rsid w:val="003039DD"/>
    <w:rsid w:val="003164F1"/>
    <w:rsid w:val="0035176E"/>
    <w:rsid w:val="003D5742"/>
    <w:rsid w:val="00482868"/>
    <w:rsid w:val="0048633A"/>
    <w:rsid w:val="004956D7"/>
    <w:rsid w:val="004D4EFB"/>
    <w:rsid w:val="005F4CEA"/>
    <w:rsid w:val="0065390B"/>
    <w:rsid w:val="00675298"/>
    <w:rsid w:val="00691C5E"/>
    <w:rsid w:val="006974DC"/>
    <w:rsid w:val="006C2A44"/>
    <w:rsid w:val="00740700"/>
    <w:rsid w:val="00740BC6"/>
    <w:rsid w:val="00753CB4"/>
    <w:rsid w:val="0076087A"/>
    <w:rsid w:val="007C0EDA"/>
    <w:rsid w:val="007C3F3F"/>
    <w:rsid w:val="007E2506"/>
    <w:rsid w:val="00805EA0"/>
    <w:rsid w:val="00835A16"/>
    <w:rsid w:val="00863ECF"/>
    <w:rsid w:val="0088678F"/>
    <w:rsid w:val="00895A57"/>
    <w:rsid w:val="008A0BA9"/>
    <w:rsid w:val="00941B91"/>
    <w:rsid w:val="009750A6"/>
    <w:rsid w:val="009914C4"/>
    <w:rsid w:val="009A74C9"/>
    <w:rsid w:val="00A47DEB"/>
    <w:rsid w:val="00A52225"/>
    <w:rsid w:val="00A94C88"/>
    <w:rsid w:val="00AB0476"/>
    <w:rsid w:val="00AB1817"/>
    <w:rsid w:val="00B66D2C"/>
    <w:rsid w:val="00B82997"/>
    <w:rsid w:val="00B848B0"/>
    <w:rsid w:val="00C36840"/>
    <w:rsid w:val="00C7439B"/>
    <w:rsid w:val="00C93045"/>
    <w:rsid w:val="00C942BE"/>
    <w:rsid w:val="00CB4CA5"/>
    <w:rsid w:val="00CF4F75"/>
    <w:rsid w:val="00D714F0"/>
    <w:rsid w:val="00D9426A"/>
    <w:rsid w:val="00DC1301"/>
    <w:rsid w:val="00E01817"/>
    <w:rsid w:val="00E15A50"/>
    <w:rsid w:val="00E235BE"/>
    <w:rsid w:val="00E44B64"/>
    <w:rsid w:val="00E616F0"/>
    <w:rsid w:val="00E67FCC"/>
    <w:rsid w:val="00ED5DF9"/>
    <w:rsid w:val="00F56510"/>
    <w:rsid w:val="00F76FD1"/>
    <w:rsid w:val="00FA029D"/>
    <w:rsid w:val="01FF58AD"/>
    <w:rsid w:val="07A7375C"/>
    <w:rsid w:val="0C7F7266"/>
    <w:rsid w:val="140D37EA"/>
    <w:rsid w:val="17912F0C"/>
    <w:rsid w:val="1ED47A76"/>
    <w:rsid w:val="1F23417E"/>
    <w:rsid w:val="26BC50DA"/>
    <w:rsid w:val="318D2FEA"/>
    <w:rsid w:val="351340E9"/>
    <w:rsid w:val="39175EE9"/>
    <w:rsid w:val="3AAD67BD"/>
    <w:rsid w:val="3EE76EDE"/>
    <w:rsid w:val="40574A00"/>
    <w:rsid w:val="4B5A5F13"/>
    <w:rsid w:val="51B91EF3"/>
    <w:rsid w:val="54C553FD"/>
    <w:rsid w:val="5CAA4FF9"/>
    <w:rsid w:val="5CD425A9"/>
    <w:rsid w:val="60AE5E65"/>
    <w:rsid w:val="669420C1"/>
    <w:rsid w:val="6F06301C"/>
    <w:rsid w:val="76B725E4"/>
    <w:rsid w:val="7BEC2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99"/>
    <w:rPr>
      <w:rFonts w:cs="Times New Roman"/>
    </w:rPr>
  </w:style>
  <w:style w:type="character" w:customStyle="1" w:styleId="7">
    <w:name w:val="页脚 Char"/>
    <w:basedOn w:val="4"/>
    <w:link w:val="2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4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p0"/>
    <w:basedOn w:val="1"/>
    <w:qFormat/>
    <w:uiPriority w:val="99"/>
    <w:pPr>
      <w:widowControl/>
      <w:ind w:firstLine="420"/>
      <w:jc w:val="left"/>
    </w:pPr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212</Words>
  <Characters>1210</Characters>
  <Lines>10</Lines>
  <Paragraphs>2</Paragraphs>
  <TotalTime>0</TotalTime>
  <ScaleCrop>false</ScaleCrop>
  <LinksUpToDate>false</LinksUpToDate>
  <CharactersWithSpaces>1420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2017-12-06T07:53:00Z</dcterms:created>
  <dc:creator>Administrator</dc:creator>
  <cp:lastModifiedBy>Administrator</cp:lastModifiedBy>
  <dcterms:modified xsi:type="dcterms:W3CDTF">2018-04-11T09:59:39Z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