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方正小标宋简体"/>
          <w:sz w:val="84"/>
          <w:szCs w:val="84"/>
        </w:rPr>
      </w:pPr>
    </w:p>
    <w:p>
      <w:pPr>
        <w:jc w:val="center"/>
        <w:rPr>
          <w:rFonts w:ascii="黑体" w:hAnsi="黑体" w:eastAsia="黑体" w:cs="方正小标宋简体"/>
          <w:sz w:val="84"/>
          <w:szCs w:val="84"/>
        </w:rPr>
      </w:pPr>
    </w:p>
    <w:p>
      <w:pPr>
        <w:jc w:val="center"/>
        <w:rPr>
          <w:rFonts w:ascii="黑体" w:hAnsi="黑体" w:eastAsia="黑体" w:cs="方正小标宋简体"/>
          <w:sz w:val="84"/>
          <w:szCs w:val="84"/>
        </w:rPr>
      </w:pPr>
    </w:p>
    <w:p>
      <w:pPr>
        <w:jc w:val="center"/>
        <w:rPr>
          <w:rFonts w:ascii="黑体" w:hAnsi="黑体" w:eastAsia="黑体" w:cs="方正小标宋简体"/>
          <w:sz w:val="84"/>
          <w:szCs w:val="84"/>
        </w:rPr>
      </w:pPr>
    </w:p>
    <w:p>
      <w:pPr>
        <w:jc w:val="center"/>
        <w:rPr>
          <w:rFonts w:ascii="黑体" w:hAnsi="黑体" w:eastAsia="黑体" w:cs="方正小标宋简体"/>
          <w:sz w:val="84"/>
          <w:szCs w:val="84"/>
        </w:rPr>
      </w:pPr>
      <w:r>
        <w:rPr>
          <w:rFonts w:ascii="黑体" w:hAnsi="黑体" w:eastAsia="黑体" w:cs="方正小标宋简体"/>
          <w:sz w:val="84"/>
          <w:szCs w:val="84"/>
        </w:rPr>
        <w:t>2016</w:t>
      </w:r>
      <w:r>
        <w:rPr>
          <w:rFonts w:hint="eastAsia" w:ascii="黑体" w:hAnsi="黑体" w:eastAsia="黑体" w:cs="方正小标宋简体"/>
          <w:sz w:val="84"/>
          <w:szCs w:val="84"/>
        </w:rPr>
        <w:t>年</w:t>
      </w:r>
    </w:p>
    <w:p>
      <w:pPr>
        <w:jc w:val="center"/>
        <w:rPr>
          <w:rFonts w:ascii="黑体" w:hAnsi="黑体" w:eastAsia="黑体" w:cs="方正小标宋简体"/>
          <w:sz w:val="84"/>
          <w:szCs w:val="84"/>
        </w:rPr>
      </w:pPr>
      <w:r>
        <w:rPr>
          <w:rFonts w:hint="eastAsia" w:ascii="黑体" w:hAnsi="黑体" w:eastAsia="黑体" w:cs="方正小标宋简体"/>
          <w:sz w:val="84"/>
          <w:szCs w:val="84"/>
        </w:rPr>
        <w:t>霞山区编委办</w:t>
      </w:r>
      <w:r>
        <w:rPr>
          <w:rFonts w:ascii="黑体" w:hAnsi="黑体" w:eastAsia="黑体" w:cs="方正小标宋简体"/>
          <w:sz w:val="84"/>
          <w:szCs w:val="84"/>
        </w:rPr>
        <w:t xml:space="preserve">  </w:t>
      </w:r>
    </w:p>
    <w:p>
      <w:pPr>
        <w:jc w:val="center"/>
        <w:rPr>
          <w:rFonts w:ascii="黑体" w:hAnsi="黑体" w:eastAsia="黑体" w:cs="方正小标宋简体"/>
          <w:sz w:val="84"/>
          <w:szCs w:val="84"/>
        </w:rPr>
      </w:pPr>
      <w:r>
        <w:rPr>
          <w:rFonts w:hint="eastAsia" w:ascii="黑体" w:hAnsi="黑体" w:eastAsia="黑体" w:cs="方正小标宋简体"/>
          <w:sz w:val="84"/>
          <w:szCs w:val="84"/>
        </w:rPr>
        <w:t>部门预算</w:t>
      </w: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jc w:val="center"/>
        <w:rPr>
          <w:rFonts w:ascii="黑体" w:hAnsi="黑体" w:eastAsia="黑体" w:cs="方正小标宋简体"/>
          <w:sz w:val="44"/>
          <w:szCs w:val="44"/>
        </w:rPr>
      </w:pPr>
    </w:p>
    <w:p>
      <w:pPr>
        <w:jc w:val="center"/>
        <w:rPr>
          <w:rFonts w:ascii="黑体" w:hAnsi="黑体" w:eastAsia="黑体" w:cs="方正小标宋简体"/>
          <w:sz w:val="44"/>
          <w:szCs w:val="44"/>
        </w:rPr>
      </w:pPr>
    </w:p>
    <w:p>
      <w:pPr>
        <w:jc w:val="center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方正小标宋简体"/>
          <w:sz w:val="44"/>
          <w:szCs w:val="44"/>
        </w:rPr>
        <w:t>目</w:t>
      </w:r>
      <w:r>
        <w:rPr>
          <w:rFonts w:ascii="黑体" w:hAnsi="黑体" w:eastAsia="黑体" w:cs="方正小标宋简体"/>
          <w:sz w:val="44"/>
          <w:szCs w:val="44"/>
        </w:rPr>
        <w:t xml:space="preserve"> </w:t>
      </w:r>
      <w:r>
        <w:rPr>
          <w:rFonts w:hint="eastAsia" w:ascii="黑体" w:hAnsi="黑体" w:eastAsia="黑体" w:cs="方正小标宋简体"/>
          <w:sz w:val="44"/>
          <w:szCs w:val="44"/>
        </w:rPr>
        <w:t>录</w:t>
      </w:r>
    </w:p>
    <w:p>
      <w:pPr>
        <w:spacing w:line="50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</w:t>
      </w:r>
      <w:r>
        <w:rPr>
          <w:rFonts w:ascii="黑体" w:hAnsi="黑体" w:eastAsia="黑体" w:cs="黑体"/>
          <w:sz w:val="32"/>
          <w:szCs w:val="32"/>
        </w:rPr>
        <w:t xml:space="preserve">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编委办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部门预算基本情况说明</w:t>
      </w:r>
    </w:p>
    <w:p>
      <w:pPr>
        <w:numPr>
          <w:ilvl w:val="0"/>
          <w:numId w:val="1"/>
        </w:num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部门基本情况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（一）主要职责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（二）机构设置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二、收入预算说明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三、支出预算说明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四、</w:t>
      </w:r>
      <w:r>
        <w:rPr>
          <w:rFonts w:ascii="黑体" w:hAnsi="黑体" w:eastAsia="黑体" w:cs="仿宋_GB2312"/>
          <w:sz w:val="32"/>
          <w:szCs w:val="32"/>
        </w:rPr>
        <w:t>"</w:t>
      </w:r>
      <w:r>
        <w:rPr>
          <w:rFonts w:hint="eastAsia" w:ascii="黑体" w:hAnsi="黑体" w:eastAsia="黑体" w:cs="仿宋_GB2312"/>
          <w:sz w:val="32"/>
          <w:szCs w:val="32"/>
        </w:rPr>
        <w:t>三公</w:t>
      </w:r>
      <w:r>
        <w:rPr>
          <w:rFonts w:ascii="黑体" w:hAnsi="黑体" w:eastAsia="黑体" w:cs="仿宋_GB2312"/>
          <w:sz w:val="32"/>
          <w:szCs w:val="32"/>
        </w:rPr>
        <w:t>"</w:t>
      </w:r>
      <w:r>
        <w:rPr>
          <w:rFonts w:hint="eastAsia" w:ascii="黑体" w:hAnsi="黑体" w:eastAsia="黑体" w:cs="仿宋_GB2312"/>
          <w:sz w:val="32"/>
          <w:szCs w:val="32"/>
        </w:rPr>
        <w:t>经费说明</w:t>
      </w:r>
    </w:p>
    <w:p>
      <w:pPr>
        <w:spacing w:line="500" w:lineRule="exact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 xml:space="preserve">  </w:t>
      </w:r>
      <w:r>
        <w:rPr>
          <w:rFonts w:hint="eastAsia" w:ascii="黑体" w:hAnsi="黑体" w:eastAsia="黑体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仿宋_GB2312"/>
          <w:sz w:val="32"/>
          <w:szCs w:val="32"/>
        </w:rPr>
        <w:t>五、其他需要说明的情况</w:t>
      </w:r>
    </w:p>
    <w:p>
      <w:pPr>
        <w:spacing w:line="500" w:lineRule="exact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 xml:space="preserve">    </w:t>
      </w:r>
      <w:r>
        <w:rPr>
          <w:rFonts w:hint="eastAsia" w:ascii="黑体" w:hAnsi="黑体" w:eastAsia="黑体" w:cs="仿宋_GB2312"/>
          <w:sz w:val="32"/>
          <w:szCs w:val="32"/>
        </w:rPr>
        <w:t>（一）机关运行经费情况</w:t>
      </w:r>
    </w:p>
    <w:p>
      <w:pPr>
        <w:spacing w:line="500" w:lineRule="exact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 xml:space="preserve">    </w:t>
      </w:r>
      <w:r>
        <w:rPr>
          <w:rFonts w:hint="eastAsia" w:ascii="黑体" w:hAnsi="黑体" w:eastAsia="黑体" w:cs="仿宋_GB2312"/>
          <w:sz w:val="32"/>
          <w:szCs w:val="32"/>
        </w:rPr>
        <w:t>（二）政府采购安排情况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（三）国有资产占有使用情况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（四）重点项目预算绩效目标设置情况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（五）专业名词解释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</w:p>
    <w:p>
      <w:pPr>
        <w:spacing w:line="50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</w:t>
      </w:r>
      <w:r>
        <w:rPr>
          <w:rFonts w:ascii="黑体" w:hAnsi="黑体" w:eastAsia="黑体" w:cs="黑体"/>
          <w:sz w:val="32"/>
          <w:szCs w:val="32"/>
        </w:rPr>
        <w:t xml:space="preserve"> 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编委办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部门预算表</w:t>
      </w:r>
    </w:p>
    <w:p>
      <w:pPr>
        <w:pStyle w:val="9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一、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年财政拨款收支总表</w:t>
      </w:r>
    </w:p>
    <w:p>
      <w:pPr>
        <w:pStyle w:val="9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二、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年一般公共预算支出表</w:t>
      </w:r>
    </w:p>
    <w:p>
      <w:pPr>
        <w:pStyle w:val="9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三、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年一般公共预算基本支出表（部门经济分类）</w:t>
      </w:r>
    </w:p>
    <w:p>
      <w:pPr>
        <w:pStyle w:val="9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四、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年一般公共预算“三公”经费支出表</w:t>
      </w:r>
    </w:p>
    <w:p>
      <w:pPr>
        <w:pStyle w:val="9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五、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年政府性基金预算支出表</w:t>
      </w:r>
    </w:p>
    <w:p>
      <w:pPr>
        <w:pStyle w:val="9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六、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年部门收支总表</w:t>
      </w:r>
    </w:p>
    <w:p>
      <w:pPr>
        <w:pStyle w:val="9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七、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年部门收入表</w:t>
      </w:r>
    </w:p>
    <w:p>
      <w:pPr>
        <w:widowControl/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八、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年部门支出表</w:t>
      </w: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ascii="黑体" w:hAnsi="黑体" w:eastAsia="黑体"/>
          <w:b/>
          <w:sz w:val="44"/>
          <w:szCs w:val="44"/>
        </w:rPr>
        <w:t>2016</w:t>
      </w:r>
      <w:r>
        <w:rPr>
          <w:rFonts w:hint="eastAsia" w:ascii="黑体" w:hAnsi="黑体" w:eastAsia="黑体"/>
          <w:b/>
          <w:sz w:val="44"/>
          <w:szCs w:val="44"/>
        </w:rPr>
        <w:t>年霞山区编委办部门预算基本情况说明</w:t>
      </w:r>
    </w:p>
    <w:p>
      <w:pPr>
        <w:spacing w:line="360" w:lineRule="auto"/>
        <w:jc w:val="center"/>
        <w:rPr>
          <w:rFonts w:ascii="黑体" w:hAnsi="黑体" w:eastAsia="黑体"/>
          <w:b/>
          <w:bCs/>
          <w:sz w:val="36"/>
          <w:szCs w:val="36"/>
        </w:rPr>
      </w:pPr>
    </w:p>
    <w:p>
      <w:pPr>
        <w:spacing w:line="360" w:lineRule="auto"/>
        <w:ind w:firstLine="643" w:firstLineChars="200"/>
        <w:outlineLvl w:val="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一、部门基本情况</w:t>
      </w:r>
    </w:p>
    <w:p>
      <w:pPr>
        <w:spacing w:line="360" w:lineRule="auto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（一）主要职责</w:t>
      </w:r>
    </w:p>
    <w:p>
      <w:pPr>
        <w:spacing w:line="288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湛江市霞山区机构编制委员会办公室，既是区委工作部门，又是区政府工作部门，列区委机构序列。做好区级机构编制管理工作，维护单位正常运作。</w:t>
      </w:r>
    </w:p>
    <w:p>
      <w:pPr>
        <w:spacing w:line="360" w:lineRule="auto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（二）机构设置</w:t>
      </w:r>
    </w:p>
    <w:p>
      <w:pPr>
        <w:spacing w:line="360" w:lineRule="auto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本部门无下属单位，部门预算为本级预算。</w:t>
      </w:r>
    </w:p>
    <w:p>
      <w:pPr>
        <w:spacing w:line="288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区机构编制委员会办公室设2个内设机构和1个直属行政单位。2016年初区机构编制委员会办公室机关行政编制9名。后勤服务人员数1名。实有人数为在职人员7名，退休人员2名，后勤服务人员1名。</w:t>
      </w:r>
    </w:p>
    <w:p>
      <w:pPr>
        <w:spacing w:line="500" w:lineRule="exact"/>
        <w:ind w:firstLine="643" w:firstLineChars="200"/>
        <w:outlineLvl w:val="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二、收入预算说明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年收入预算</w:t>
      </w:r>
      <w:r>
        <w:rPr>
          <w:rFonts w:ascii="黑体" w:hAnsi="黑体" w:eastAsia="黑体" w:cs="仿宋_GB2312"/>
          <w:sz w:val="32"/>
          <w:szCs w:val="32"/>
        </w:rPr>
        <w:t>80.29</w:t>
      </w:r>
      <w:r>
        <w:rPr>
          <w:rFonts w:hint="eastAsia" w:ascii="黑体" w:hAnsi="黑体" w:eastAsia="黑体" w:cs="仿宋_GB2312"/>
          <w:sz w:val="32"/>
          <w:szCs w:val="32"/>
        </w:rPr>
        <w:t>万元，同比增加</w:t>
      </w:r>
      <w:r>
        <w:rPr>
          <w:rFonts w:ascii="黑体" w:hAnsi="黑体" w:eastAsia="黑体" w:cs="仿宋_GB2312"/>
          <w:sz w:val="32"/>
          <w:szCs w:val="32"/>
        </w:rPr>
        <w:t>37.94</w:t>
      </w:r>
      <w:r>
        <w:rPr>
          <w:rFonts w:hint="eastAsia" w:ascii="黑体" w:hAnsi="黑体" w:eastAsia="黑体" w:cs="仿宋_GB2312"/>
          <w:sz w:val="32"/>
          <w:szCs w:val="32"/>
        </w:rPr>
        <w:t>万元</w:t>
      </w:r>
      <w:r>
        <w:rPr>
          <w:rFonts w:ascii="黑体" w:hAnsi="黑体" w:eastAsia="黑体" w:cs="仿宋_GB2312"/>
          <w:sz w:val="32"/>
          <w:szCs w:val="32"/>
        </w:rPr>
        <w:t>,</w:t>
      </w:r>
      <w:r>
        <w:rPr>
          <w:rFonts w:hint="eastAsia" w:ascii="黑体" w:hAnsi="黑体" w:eastAsia="黑体" w:cs="仿宋_GB2312"/>
          <w:sz w:val="32"/>
          <w:szCs w:val="32"/>
        </w:rPr>
        <w:t>增长46.2</w:t>
      </w:r>
      <w:r>
        <w:rPr>
          <w:rFonts w:ascii="黑体" w:hAnsi="黑体" w:eastAsia="黑体" w:cs="仿宋_GB2312"/>
          <w:sz w:val="32"/>
          <w:szCs w:val="32"/>
        </w:rPr>
        <w:t>%</w:t>
      </w:r>
      <w:r>
        <w:rPr>
          <w:rFonts w:hint="eastAsia" w:ascii="黑体" w:hAnsi="黑体" w:eastAsia="黑体" w:cs="仿宋_GB2312"/>
          <w:sz w:val="32"/>
          <w:szCs w:val="32"/>
        </w:rPr>
        <w:t>。增加的原因的由于工资福利支出和对个人和家庭的补助增加。其中：预算经费安排拨款</w:t>
      </w:r>
      <w:r>
        <w:rPr>
          <w:rFonts w:ascii="黑体" w:hAnsi="黑体" w:eastAsia="黑体" w:cs="仿宋_GB2312"/>
          <w:sz w:val="32"/>
          <w:szCs w:val="32"/>
        </w:rPr>
        <w:t>80.29</w:t>
      </w:r>
      <w:r>
        <w:rPr>
          <w:rFonts w:hint="eastAsia" w:ascii="黑体" w:hAnsi="黑体" w:eastAsia="黑体" w:cs="仿宋_GB2312"/>
          <w:sz w:val="32"/>
          <w:szCs w:val="32"/>
        </w:rPr>
        <w:t>万元，其他非税收入安排拨款</w:t>
      </w:r>
      <w:r>
        <w:rPr>
          <w:rFonts w:ascii="黑体" w:hAnsi="黑体" w:eastAsia="黑体" w:cs="仿宋_GB2312"/>
          <w:sz w:val="32"/>
          <w:szCs w:val="32"/>
        </w:rPr>
        <w:t>0</w:t>
      </w:r>
      <w:r>
        <w:rPr>
          <w:rFonts w:hint="eastAsia" w:ascii="黑体" w:hAnsi="黑体" w:eastAsia="黑体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三、支出预算说明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年支出预算</w:t>
      </w:r>
      <w:r>
        <w:rPr>
          <w:rFonts w:ascii="黑体" w:hAnsi="黑体" w:eastAsia="黑体" w:cs="仿宋_GB2312"/>
          <w:sz w:val="32"/>
          <w:szCs w:val="32"/>
        </w:rPr>
        <w:t>80.29</w:t>
      </w:r>
      <w:r>
        <w:rPr>
          <w:rFonts w:hint="eastAsia" w:ascii="黑体" w:hAnsi="黑体" w:eastAsia="黑体" w:cs="仿宋_GB2312"/>
          <w:sz w:val="32"/>
          <w:szCs w:val="32"/>
        </w:rPr>
        <w:t>万元，同比增加</w:t>
      </w:r>
      <w:r>
        <w:rPr>
          <w:rFonts w:ascii="黑体" w:hAnsi="黑体" w:eastAsia="黑体" w:cs="仿宋_GB2312"/>
          <w:sz w:val="32"/>
          <w:szCs w:val="32"/>
        </w:rPr>
        <w:t>37.94</w:t>
      </w:r>
      <w:r>
        <w:rPr>
          <w:rFonts w:hint="eastAsia" w:ascii="黑体" w:hAnsi="黑体" w:eastAsia="黑体" w:cs="仿宋_GB2312"/>
          <w:sz w:val="32"/>
          <w:szCs w:val="32"/>
        </w:rPr>
        <w:t>万元</w:t>
      </w:r>
      <w:r>
        <w:rPr>
          <w:rFonts w:ascii="黑体" w:hAnsi="黑体" w:eastAsia="黑体" w:cs="仿宋_GB2312"/>
          <w:sz w:val="32"/>
          <w:szCs w:val="32"/>
        </w:rPr>
        <w:t>,</w:t>
      </w:r>
      <w:r>
        <w:rPr>
          <w:rFonts w:hint="eastAsia" w:ascii="黑体" w:hAnsi="黑体" w:eastAsia="黑体" w:cs="仿宋_GB2312"/>
          <w:sz w:val="32"/>
          <w:szCs w:val="32"/>
        </w:rPr>
        <w:t>增长46.2</w:t>
      </w:r>
      <w:r>
        <w:rPr>
          <w:rFonts w:ascii="黑体" w:hAnsi="黑体" w:eastAsia="黑体" w:cs="仿宋_GB2312"/>
          <w:sz w:val="32"/>
          <w:szCs w:val="32"/>
        </w:rPr>
        <w:t>%</w:t>
      </w:r>
      <w:r>
        <w:rPr>
          <w:rFonts w:hint="eastAsia" w:ascii="黑体" w:hAnsi="黑体" w:eastAsia="黑体" w:cs="仿宋_GB2312"/>
          <w:sz w:val="32"/>
          <w:szCs w:val="32"/>
        </w:rPr>
        <w:t>。增加的原因的由于工资福利支出和对个人和家庭的补助增加。支出按经济分类划分：</w:t>
      </w:r>
      <w:r>
        <w:rPr>
          <w:rFonts w:ascii="黑体" w:hAnsi="黑体" w:eastAsia="黑体" w:cs="仿宋_GB2312"/>
          <w:sz w:val="32"/>
          <w:szCs w:val="32"/>
        </w:rPr>
        <w:t>1</w:t>
      </w:r>
      <w:r>
        <w:rPr>
          <w:rFonts w:hint="eastAsia" w:ascii="黑体" w:hAnsi="黑体" w:eastAsia="黑体" w:cs="仿宋_GB2312"/>
          <w:sz w:val="32"/>
          <w:szCs w:val="32"/>
        </w:rPr>
        <w:t>、基本支出预算</w:t>
      </w:r>
      <w:r>
        <w:rPr>
          <w:rFonts w:ascii="黑体" w:hAnsi="黑体" w:eastAsia="黑体" w:cs="仿宋_GB2312"/>
          <w:sz w:val="32"/>
          <w:szCs w:val="32"/>
        </w:rPr>
        <w:t>74.8</w:t>
      </w:r>
      <w:r>
        <w:rPr>
          <w:rFonts w:hint="eastAsia" w:ascii="黑体" w:hAnsi="黑体" w:eastAsia="黑体" w:cs="仿宋_GB2312"/>
          <w:sz w:val="32"/>
          <w:szCs w:val="32"/>
        </w:rPr>
        <w:t>万元，其中：工资福利支出</w:t>
      </w:r>
      <w:r>
        <w:rPr>
          <w:rFonts w:ascii="黑体" w:hAnsi="黑体" w:eastAsia="黑体" w:cs="仿宋_GB2312"/>
          <w:sz w:val="32"/>
          <w:szCs w:val="32"/>
        </w:rPr>
        <w:t>51.52</w:t>
      </w:r>
      <w:r>
        <w:rPr>
          <w:rFonts w:hint="eastAsia" w:ascii="黑体" w:hAnsi="黑体" w:eastAsia="黑体" w:cs="仿宋_GB2312"/>
          <w:sz w:val="32"/>
          <w:szCs w:val="32"/>
        </w:rPr>
        <w:t>万元，</w:t>
      </w:r>
      <w:r>
        <w:rPr>
          <w:rFonts w:ascii="黑体" w:hAnsi="黑体" w:eastAsia="黑体" w:cs="仿宋_GB2312"/>
          <w:sz w:val="32"/>
          <w:szCs w:val="32"/>
        </w:rPr>
        <w:t xml:space="preserve">  </w:t>
      </w:r>
      <w:r>
        <w:rPr>
          <w:rFonts w:hint="eastAsia" w:ascii="黑体" w:hAnsi="黑体" w:eastAsia="黑体" w:cs="仿宋_GB2312"/>
          <w:sz w:val="32"/>
          <w:szCs w:val="32"/>
        </w:rPr>
        <w:t>对个人和家庭的补助支出</w:t>
      </w:r>
      <w:r>
        <w:rPr>
          <w:rFonts w:ascii="黑体" w:hAnsi="黑体" w:eastAsia="黑体" w:cs="仿宋_GB2312"/>
          <w:sz w:val="32"/>
          <w:szCs w:val="32"/>
        </w:rPr>
        <w:t>16.8</w:t>
      </w:r>
      <w:r>
        <w:rPr>
          <w:rFonts w:hint="eastAsia" w:ascii="黑体" w:hAnsi="黑体" w:eastAsia="黑体" w:cs="仿宋_GB2312"/>
          <w:sz w:val="32"/>
          <w:szCs w:val="32"/>
        </w:rPr>
        <w:t>万元，一般商品和服务支出</w:t>
      </w:r>
      <w:r>
        <w:rPr>
          <w:rFonts w:ascii="黑体" w:hAnsi="黑体" w:eastAsia="黑体" w:cs="仿宋_GB2312"/>
          <w:sz w:val="32"/>
          <w:szCs w:val="32"/>
        </w:rPr>
        <w:t>6.48</w:t>
      </w:r>
      <w:r>
        <w:rPr>
          <w:rFonts w:hint="eastAsia" w:ascii="黑体" w:hAnsi="黑体" w:eastAsia="黑体" w:cs="仿宋_GB2312"/>
          <w:sz w:val="32"/>
          <w:szCs w:val="32"/>
        </w:rPr>
        <w:t>万元。</w:t>
      </w:r>
      <w:r>
        <w:rPr>
          <w:rFonts w:ascii="黑体" w:hAnsi="黑体" w:eastAsia="黑体" w:cs="仿宋_GB2312"/>
          <w:sz w:val="32"/>
          <w:szCs w:val="32"/>
        </w:rPr>
        <w:t>2</w:t>
      </w:r>
      <w:r>
        <w:rPr>
          <w:rFonts w:hint="eastAsia" w:ascii="黑体" w:hAnsi="黑体" w:eastAsia="黑体" w:cs="仿宋_GB2312"/>
          <w:sz w:val="32"/>
          <w:szCs w:val="32"/>
        </w:rPr>
        <w:t>、项目支出预算</w:t>
      </w:r>
      <w:r>
        <w:rPr>
          <w:rFonts w:ascii="黑体" w:hAnsi="黑体" w:eastAsia="黑体" w:cs="仿宋_GB2312"/>
          <w:sz w:val="32"/>
          <w:szCs w:val="32"/>
        </w:rPr>
        <w:t>5.49</w:t>
      </w:r>
      <w:r>
        <w:rPr>
          <w:rFonts w:hint="eastAsia" w:ascii="黑体" w:hAnsi="黑体" w:eastAsia="黑体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四、“三公经费”说明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2016</w:t>
      </w:r>
      <w:r>
        <w:rPr>
          <w:rFonts w:hint="eastAsia" w:ascii="黑体" w:hAnsi="黑体" w:eastAsia="黑体"/>
          <w:sz w:val="32"/>
          <w:szCs w:val="32"/>
        </w:rPr>
        <w:t>年“三公经费”预算安排共</w:t>
      </w:r>
      <w:r>
        <w:rPr>
          <w:rFonts w:ascii="黑体" w:hAnsi="黑体" w:eastAsia="黑体"/>
          <w:sz w:val="32"/>
          <w:szCs w:val="32"/>
        </w:rPr>
        <w:t>0</w:t>
      </w:r>
      <w:r>
        <w:rPr>
          <w:rFonts w:hint="eastAsia" w:ascii="黑体" w:hAnsi="黑体" w:eastAsia="黑体"/>
          <w:sz w:val="32"/>
          <w:szCs w:val="32"/>
        </w:rPr>
        <w:t>万元，与</w:t>
      </w:r>
      <w:r>
        <w:rPr>
          <w:rFonts w:ascii="黑体" w:hAnsi="黑体" w:eastAsia="黑体"/>
          <w:sz w:val="32"/>
          <w:szCs w:val="32"/>
        </w:rPr>
        <w:t>2015</w:t>
      </w:r>
      <w:r>
        <w:rPr>
          <w:rFonts w:hint="eastAsia" w:ascii="黑体" w:hAnsi="黑体" w:eastAsia="黑体"/>
          <w:sz w:val="32"/>
          <w:szCs w:val="32"/>
        </w:rPr>
        <w:t>年持平，</w:t>
      </w:r>
      <w:r>
        <w:rPr>
          <w:rFonts w:hint="eastAsia" w:ascii="黑体" w:hAnsi="黑体" w:eastAsia="黑体"/>
          <w:sz w:val="32"/>
          <w:szCs w:val="32"/>
          <w:lang w:eastAsia="zh-CN"/>
        </w:rPr>
        <w:t>其中</w:t>
      </w:r>
      <w:r>
        <w:rPr>
          <w:rFonts w:hint="eastAsia" w:ascii="黑体" w:hAnsi="黑体" w:eastAsia="黑体"/>
          <w:sz w:val="32"/>
          <w:szCs w:val="32"/>
        </w:rPr>
        <w:t>：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1.</w:t>
      </w:r>
      <w:r>
        <w:rPr>
          <w:rFonts w:hint="eastAsia" w:ascii="黑体" w:hAnsi="黑体" w:eastAsia="黑体"/>
          <w:sz w:val="32"/>
          <w:szCs w:val="32"/>
        </w:rPr>
        <w:t>因公出国（境）费预算安排</w:t>
      </w:r>
      <w:r>
        <w:rPr>
          <w:rFonts w:ascii="黑体" w:hAnsi="黑体" w:eastAsia="黑体"/>
          <w:sz w:val="32"/>
          <w:szCs w:val="32"/>
        </w:rPr>
        <w:t>0</w:t>
      </w:r>
      <w:r>
        <w:rPr>
          <w:rFonts w:hint="eastAsia" w:ascii="黑体" w:hAnsi="黑体" w:eastAsia="黑体"/>
          <w:sz w:val="32"/>
          <w:szCs w:val="32"/>
        </w:rPr>
        <w:t>万元，与</w:t>
      </w:r>
      <w:r>
        <w:rPr>
          <w:rFonts w:ascii="黑体" w:hAnsi="黑体" w:eastAsia="黑体"/>
          <w:sz w:val="32"/>
          <w:szCs w:val="32"/>
        </w:rPr>
        <w:t>2015</w:t>
      </w:r>
      <w:r>
        <w:rPr>
          <w:rFonts w:hint="eastAsia" w:ascii="黑体" w:hAnsi="黑体" w:eastAsia="黑体"/>
          <w:sz w:val="32"/>
          <w:szCs w:val="32"/>
        </w:rPr>
        <w:t>年持平。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2.</w:t>
      </w:r>
      <w:r>
        <w:rPr>
          <w:rFonts w:hint="eastAsia" w:ascii="黑体" w:hAnsi="黑体" w:eastAsia="黑体"/>
          <w:sz w:val="32"/>
          <w:szCs w:val="32"/>
        </w:rPr>
        <w:t>公务用车</w:t>
      </w: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购置及运行维护费预算安排</w:t>
      </w:r>
      <w:r>
        <w:rPr>
          <w:rFonts w:ascii="黑体" w:hAnsi="黑体" w:eastAsia="黑体"/>
          <w:sz w:val="32"/>
          <w:szCs w:val="32"/>
        </w:rPr>
        <w:t>0</w:t>
      </w:r>
      <w:r>
        <w:rPr>
          <w:rFonts w:hint="eastAsia" w:ascii="黑体" w:hAnsi="黑体" w:eastAsia="黑体"/>
          <w:sz w:val="32"/>
          <w:szCs w:val="32"/>
        </w:rPr>
        <w:t>万元，与</w:t>
      </w:r>
      <w:r>
        <w:rPr>
          <w:rFonts w:ascii="黑体" w:hAnsi="黑体" w:eastAsia="黑体"/>
          <w:sz w:val="32"/>
          <w:szCs w:val="32"/>
        </w:rPr>
        <w:t>2015</w:t>
      </w:r>
      <w:r>
        <w:rPr>
          <w:rFonts w:hint="eastAsia" w:ascii="黑体" w:hAnsi="黑体" w:eastAsia="黑体"/>
          <w:sz w:val="32"/>
          <w:szCs w:val="32"/>
        </w:rPr>
        <w:t>年持平。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3.</w:t>
      </w:r>
      <w:r>
        <w:rPr>
          <w:rFonts w:hint="eastAsia" w:ascii="黑体" w:hAnsi="黑体" w:eastAsia="黑体"/>
          <w:sz w:val="32"/>
          <w:szCs w:val="32"/>
        </w:rPr>
        <w:t>公务接待费预算安排</w:t>
      </w:r>
      <w:r>
        <w:rPr>
          <w:rFonts w:ascii="黑体" w:hAnsi="黑体" w:eastAsia="黑体"/>
          <w:sz w:val="32"/>
          <w:szCs w:val="32"/>
        </w:rPr>
        <w:t>0</w:t>
      </w:r>
      <w:r>
        <w:rPr>
          <w:rFonts w:hint="eastAsia" w:ascii="黑体" w:hAnsi="黑体" w:eastAsia="黑体"/>
          <w:sz w:val="32"/>
          <w:szCs w:val="32"/>
        </w:rPr>
        <w:t>万元。与</w:t>
      </w:r>
      <w:r>
        <w:rPr>
          <w:rFonts w:ascii="黑体" w:hAnsi="黑体" w:eastAsia="黑体"/>
          <w:sz w:val="32"/>
          <w:szCs w:val="32"/>
        </w:rPr>
        <w:t>2015</w:t>
      </w:r>
      <w:r>
        <w:rPr>
          <w:rFonts w:hint="eastAsia" w:ascii="黑体" w:hAnsi="黑体" w:eastAsia="黑体"/>
          <w:sz w:val="32"/>
          <w:szCs w:val="32"/>
        </w:rPr>
        <w:t>年持平。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五、其他需要说明的情况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（一）关于“机关运行经费”支出的说明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年“机关运行经费”支出</w:t>
      </w:r>
      <w:r>
        <w:rPr>
          <w:rFonts w:ascii="黑体" w:hAnsi="黑体" w:eastAsia="黑体" w:cs="仿宋_GB2312"/>
          <w:sz w:val="32"/>
          <w:szCs w:val="32"/>
        </w:rPr>
        <w:t>6.48</w:t>
      </w:r>
      <w:r>
        <w:rPr>
          <w:rFonts w:hint="eastAsia" w:ascii="黑体" w:hAnsi="黑体" w:eastAsia="黑体" w:cs="仿宋_GB2312"/>
          <w:sz w:val="32"/>
          <w:szCs w:val="32"/>
        </w:rPr>
        <w:t>万元，同比增加</w:t>
      </w:r>
      <w:r>
        <w:rPr>
          <w:rFonts w:ascii="黑体" w:hAnsi="黑体" w:eastAsia="黑体" w:cs="仿宋_GB2312"/>
          <w:sz w:val="32"/>
          <w:szCs w:val="32"/>
        </w:rPr>
        <w:t>2.88</w:t>
      </w:r>
      <w:r>
        <w:rPr>
          <w:rFonts w:hint="eastAsia" w:ascii="黑体" w:hAnsi="黑体" w:eastAsia="黑体" w:cs="仿宋_GB2312"/>
          <w:sz w:val="32"/>
          <w:szCs w:val="32"/>
        </w:rPr>
        <w:t>万元，增加的原因是办公费和其他交通费用（公务交通补贴）增加。其中：办公费</w:t>
      </w:r>
      <w:r>
        <w:rPr>
          <w:rFonts w:ascii="黑体" w:hAnsi="黑体" w:eastAsia="黑体" w:cs="仿宋_GB2312"/>
          <w:sz w:val="32"/>
          <w:szCs w:val="32"/>
        </w:rPr>
        <w:t>2.45</w:t>
      </w:r>
      <w:r>
        <w:rPr>
          <w:rFonts w:hint="eastAsia" w:ascii="黑体" w:hAnsi="黑体" w:eastAsia="黑体" w:cs="仿宋_GB2312"/>
          <w:sz w:val="32"/>
          <w:szCs w:val="32"/>
        </w:rPr>
        <w:t>万元，其他交通费用（公务交通补贴）</w:t>
      </w:r>
      <w:r>
        <w:rPr>
          <w:rFonts w:ascii="黑体" w:hAnsi="黑体" w:eastAsia="黑体" w:cs="仿宋_GB2312"/>
          <w:sz w:val="32"/>
          <w:szCs w:val="32"/>
        </w:rPr>
        <w:t>4.03</w:t>
      </w:r>
      <w:r>
        <w:rPr>
          <w:rFonts w:hint="eastAsia" w:ascii="黑体" w:hAnsi="黑体" w:eastAsia="黑体" w:cs="仿宋_GB2312"/>
          <w:sz w:val="32"/>
          <w:szCs w:val="32"/>
        </w:rPr>
        <w:t>万元等。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（二）关于政府采购支出说明：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政府采购安排为零。</w:t>
      </w:r>
    </w:p>
    <w:p>
      <w:pPr>
        <w:spacing w:line="580" w:lineRule="exact"/>
        <w:ind w:firstLine="602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b/>
          <w:bCs/>
          <w:sz w:val="32"/>
          <w:szCs w:val="32"/>
        </w:rPr>
        <w:t>（三）国有资产占有使用情况</w:t>
      </w:r>
      <w:r>
        <w:rPr>
          <w:rFonts w:hint="eastAsia" w:ascii="黑体" w:hAnsi="黑体" w:eastAsia="黑体" w:cs="仿宋_GB2312"/>
          <w:sz w:val="32"/>
          <w:szCs w:val="32"/>
        </w:rPr>
        <w:t>：截至</w:t>
      </w:r>
      <w:r>
        <w:rPr>
          <w:rFonts w:ascii="黑体" w:hAnsi="黑体" w:eastAsia="黑体" w:cs="仿宋_GB2312"/>
          <w:sz w:val="32"/>
          <w:szCs w:val="32"/>
        </w:rPr>
        <w:t>2015</w:t>
      </w:r>
      <w:r>
        <w:rPr>
          <w:rFonts w:hint="eastAsia" w:ascii="黑体" w:hAnsi="黑体" w:eastAsia="黑体" w:cs="仿宋_GB2312"/>
          <w:sz w:val="32"/>
          <w:szCs w:val="32"/>
        </w:rPr>
        <w:t>年</w:t>
      </w:r>
      <w:r>
        <w:rPr>
          <w:rFonts w:ascii="黑体" w:hAnsi="黑体" w:eastAsia="黑体" w:cs="仿宋_GB2312"/>
          <w:sz w:val="32"/>
          <w:szCs w:val="32"/>
        </w:rPr>
        <w:t>12</w:t>
      </w:r>
      <w:r>
        <w:rPr>
          <w:rFonts w:hint="eastAsia" w:ascii="黑体" w:hAnsi="黑体" w:eastAsia="黑体" w:cs="仿宋_GB2312"/>
          <w:sz w:val="32"/>
          <w:szCs w:val="32"/>
        </w:rPr>
        <w:t>月</w:t>
      </w:r>
      <w:r>
        <w:rPr>
          <w:rFonts w:ascii="黑体" w:hAnsi="黑体" w:eastAsia="黑体" w:cs="仿宋_GB2312"/>
          <w:sz w:val="32"/>
          <w:szCs w:val="32"/>
        </w:rPr>
        <w:t>31</w:t>
      </w:r>
      <w:r>
        <w:rPr>
          <w:rFonts w:hint="eastAsia" w:ascii="黑体" w:hAnsi="黑体" w:eastAsia="黑体" w:cs="仿宋_GB2312"/>
          <w:sz w:val="32"/>
          <w:szCs w:val="32"/>
        </w:rPr>
        <w:t>日，本部门国有资产总额为</w:t>
      </w:r>
      <w:r>
        <w:rPr>
          <w:rFonts w:ascii="黑体" w:hAnsi="黑体" w:eastAsia="黑体" w:cs="仿宋_GB2312"/>
          <w:sz w:val="32"/>
          <w:szCs w:val="32"/>
        </w:rPr>
        <w:t>23</w:t>
      </w:r>
      <w:r>
        <w:rPr>
          <w:rFonts w:hint="eastAsia" w:ascii="黑体" w:hAnsi="黑体" w:eastAsia="黑体" w:cs="仿宋_GB2312"/>
          <w:sz w:val="32"/>
          <w:szCs w:val="32"/>
        </w:rPr>
        <w:t>.</w:t>
      </w:r>
      <w:r>
        <w:rPr>
          <w:rFonts w:ascii="黑体" w:hAnsi="黑体" w:eastAsia="黑体" w:cs="仿宋_GB2312"/>
          <w:sz w:val="32"/>
          <w:szCs w:val="32"/>
        </w:rPr>
        <w:t>13</w:t>
      </w:r>
      <w:r>
        <w:rPr>
          <w:rFonts w:hint="eastAsia" w:ascii="黑体" w:hAnsi="黑体" w:eastAsia="黑体" w:cs="仿宋_GB2312"/>
          <w:sz w:val="32"/>
          <w:szCs w:val="32"/>
        </w:rPr>
        <w:t>万元。本部门共有车辆1辆，全部均为一般公务用车，由于公务用车改革，使用管理权均为区机关事务局所有；单位价值</w:t>
      </w:r>
      <w:r>
        <w:rPr>
          <w:rFonts w:ascii="黑体" w:hAnsi="黑体" w:eastAsia="黑体" w:cs="仿宋_GB2312"/>
          <w:sz w:val="32"/>
          <w:szCs w:val="32"/>
        </w:rPr>
        <w:t>20</w:t>
      </w:r>
      <w:r>
        <w:rPr>
          <w:rFonts w:hint="eastAsia" w:ascii="黑体" w:hAnsi="黑体" w:eastAsia="黑体" w:cs="仿宋_GB2312"/>
          <w:sz w:val="32"/>
          <w:szCs w:val="32"/>
        </w:rPr>
        <w:t>万元以上大型设备</w:t>
      </w:r>
      <w:r>
        <w:rPr>
          <w:rFonts w:ascii="黑体" w:hAnsi="黑体" w:eastAsia="黑体" w:cs="仿宋_GB2312"/>
          <w:sz w:val="32"/>
          <w:szCs w:val="32"/>
        </w:rPr>
        <w:t>0</w:t>
      </w:r>
      <w:r>
        <w:rPr>
          <w:rFonts w:hint="eastAsia" w:ascii="黑体" w:hAnsi="黑体" w:eastAsia="黑体" w:cs="仿宋_GB2312"/>
          <w:sz w:val="32"/>
          <w:szCs w:val="32"/>
        </w:rPr>
        <w:t>台（套）。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b/>
          <w:bCs/>
          <w:sz w:val="32"/>
          <w:szCs w:val="32"/>
        </w:rPr>
        <w:t>（四）重点项目预算绩效目标设置情况</w:t>
      </w:r>
      <w:r>
        <w:rPr>
          <w:rFonts w:hint="eastAsia" w:ascii="黑体" w:hAnsi="黑体" w:eastAsia="黑体" w:cs="仿宋_GB2312"/>
          <w:sz w:val="32"/>
          <w:szCs w:val="32"/>
        </w:rPr>
        <w:t>：无</w:t>
      </w:r>
    </w:p>
    <w:p>
      <w:pPr>
        <w:widowControl/>
        <w:shd w:val="clear" w:color="auto" w:fill="FFFFFF"/>
        <w:spacing w:line="500" w:lineRule="atLeast"/>
        <w:ind w:firstLine="630"/>
        <w:rPr>
          <w:rFonts w:ascii="黑体" w:hAnsi="黑体" w:eastAsia="黑体" w:cs="仿宋_GB2312"/>
          <w:color w:val="000000"/>
          <w:sz w:val="32"/>
          <w:szCs w:val="32"/>
        </w:rPr>
      </w:pPr>
      <w:r>
        <w:rPr>
          <w:rFonts w:hint="eastAsia" w:ascii="黑体" w:hAnsi="黑体" w:eastAsia="黑体" w:cs="仿宋_GB2312"/>
          <w:b/>
          <w:bCs/>
          <w:color w:val="000000"/>
          <w:kern w:val="0"/>
          <w:sz w:val="32"/>
          <w:szCs w:val="32"/>
          <w:shd w:val="clear" w:color="auto" w:fill="FFFFFF"/>
        </w:rPr>
        <w:t>（五）专业性较强的名词解释：</w:t>
      </w:r>
      <w:r>
        <w:rPr>
          <w:rFonts w:hint="eastAsia" w:ascii="黑体" w:hAnsi="黑体" w:eastAsia="黑体" w:cs="仿宋_GB2312"/>
          <w:color w:val="000000"/>
          <w:kern w:val="0"/>
          <w:sz w:val="32"/>
          <w:szCs w:val="32"/>
          <w:shd w:val="clear" w:color="auto" w:fill="FFFFFF"/>
        </w:rPr>
        <w:t>无。</w:t>
      </w:r>
    </w:p>
    <w:p>
      <w:pPr>
        <w:spacing w:line="500" w:lineRule="exact"/>
        <w:rPr>
          <w:rFonts w:ascii="黑体" w:hAnsi="黑体" w:eastAsia="黑体" w:cs="仿宋_GB2312"/>
          <w:sz w:val="32"/>
          <w:szCs w:val="32"/>
        </w:rPr>
      </w:pPr>
    </w:p>
    <w:sectPr>
      <w:head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0DB23"/>
    <w:multiLevelType w:val="singleLevel"/>
    <w:tmpl w:val="5AB0DB23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14F0"/>
    <w:rsid w:val="0002421E"/>
    <w:rsid w:val="0004225E"/>
    <w:rsid w:val="000B709C"/>
    <w:rsid w:val="000D1AD5"/>
    <w:rsid w:val="00101364"/>
    <w:rsid w:val="00151F0A"/>
    <w:rsid w:val="0019167A"/>
    <w:rsid w:val="001965E8"/>
    <w:rsid w:val="00236A06"/>
    <w:rsid w:val="00280BC7"/>
    <w:rsid w:val="002D3FAD"/>
    <w:rsid w:val="002E6A6D"/>
    <w:rsid w:val="002F3309"/>
    <w:rsid w:val="003039DD"/>
    <w:rsid w:val="00304AA6"/>
    <w:rsid w:val="003164F1"/>
    <w:rsid w:val="003D0150"/>
    <w:rsid w:val="003D5742"/>
    <w:rsid w:val="0048633A"/>
    <w:rsid w:val="00487F8C"/>
    <w:rsid w:val="004956D7"/>
    <w:rsid w:val="004A75E6"/>
    <w:rsid w:val="004D4EFB"/>
    <w:rsid w:val="00584336"/>
    <w:rsid w:val="005F4CEA"/>
    <w:rsid w:val="005F6A73"/>
    <w:rsid w:val="00652461"/>
    <w:rsid w:val="0065390B"/>
    <w:rsid w:val="00691C5E"/>
    <w:rsid w:val="006974DC"/>
    <w:rsid w:val="006C2A44"/>
    <w:rsid w:val="00753CB4"/>
    <w:rsid w:val="0076087A"/>
    <w:rsid w:val="00790783"/>
    <w:rsid w:val="007C0EDA"/>
    <w:rsid w:val="007C3F3F"/>
    <w:rsid w:val="007E2506"/>
    <w:rsid w:val="00805EA0"/>
    <w:rsid w:val="00835A16"/>
    <w:rsid w:val="00863ECF"/>
    <w:rsid w:val="00895A57"/>
    <w:rsid w:val="008A0BA9"/>
    <w:rsid w:val="00941B91"/>
    <w:rsid w:val="009750A6"/>
    <w:rsid w:val="009914C4"/>
    <w:rsid w:val="009A74C9"/>
    <w:rsid w:val="009D25A3"/>
    <w:rsid w:val="009E2937"/>
    <w:rsid w:val="00A52225"/>
    <w:rsid w:val="00A94C88"/>
    <w:rsid w:val="00AB0476"/>
    <w:rsid w:val="00AB1817"/>
    <w:rsid w:val="00B66D2C"/>
    <w:rsid w:val="00BC311F"/>
    <w:rsid w:val="00C1166A"/>
    <w:rsid w:val="00C36840"/>
    <w:rsid w:val="00C52425"/>
    <w:rsid w:val="00C7439B"/>
    <w:rsid w:val="00C91E3C"/>
    <w:rsid w:val="00C93045"/>
    <w:rsid w:val="00C942BE"/>
    <w:rsid w:val="00CB4CA5"/>
    <w:rsid w:val="00CF4F75"/>
    <w:rsid w:val="00D714F0"/>
    <w:rsid w:val="00DC1301"/>
    <w:rsid w:val="00E01817"/>
    <w:rsid w:val="00E15A50"/>
    <w:rsid w:val="00E235BE"/>
    <w:rsid w:val="00E616F0"/>
    <w:rsid w:val="00E67FCC"/>
    <w:rsid w:val="00EB55E8"/>
    <w:rsid w:val="00ED5DF9"/>
    <w:rsid w:val="00F56510"/>
    <w:rsid w:val="00FA029D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50960CB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99"/>
    <w:rPr>
      <w:rFonts w:cs="Times New Roman"/>
    </w:rPr>
  </w:style>
  <w:style w:type="character" w:customStyle="1" w:styleId="7">
    <w:name w:val="页脚 Char"/>
    <w:basedOn w:val="4"/>
    <w:link w:val="2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4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p0"/>
    <w:basedOn w:val="1"/>
    <w:uiPriority w:val="0"/>
    <w:pPr>
      <w:widowControl/>
      <w:ind w:firstLine="42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196</Words>
  <Characters>1119</Characters>
  <Lines>9</Lines>
  <Paragraphs>2</Paragraphs>
  <TotalTime>0</TotalTime>
  <ScaleCrop>false</ScaleCrop>
  <LinksUpToDate>false</LinksUpToDate>
  <CharactersWithSpaces>1313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2017-12-06T07:53:00Z</dcterms:created>
  <dc:creator>Administrator</dc:creator>
  <cp:lastModifiedBy>Administrator</cp:lastModifiedBy>
  <dcterms:modified xsi:type="dcterms:W3CDTF">2018-04-10T09:15:39Z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