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p>
    <w:p>
      <w:pPr>
        <w:jc w:val="center"/>
        <w:rPr>
          <w:rFonts w:ascii="方正小标宋简体" w:hAnsi="方正小标宋简体" w:eastAsia="方正小标宋简体" w:cs="方正小标宋简体"/>
          <w:sz w:val="84"/>
          <w:szCs w:val="84"/>
        </w:rPr>
      </w:pPr>
      <w:r>
        <w:rPr>
          <w:rFonts w:ascii="方正小标宋简体" w:hAnsi="方正小标宋简体" w:eastAsia="方正小标宋简体" w:cs="方正小标宋简体"/>
          <w:sz w:val="84"/>
          <w:szCs w:val="84"/>
        </w:rPr>
        <w:t>2016</w:t>
      </w:r>
      <w:r>
        <w:rPr>
          <w:rFonts w:hint="eastAsia" w:ascii="方正小标宋简体" w:hAnsi="方正小标宋简体" w:eastAsia="方正小标宋简体" w:cs="方正小标宋简体"/>
          <w:sz w:val="84"/>
          <w:szCs w:val="84"/>
        </w:rPr>
        <w:t>年</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lang w:eastAsia="zh-CN"/>
        </w:rPr>
        <w:t>湛江市</w:t>
      </w:r>
      <w:r>
        <w:rPr>
          <w:rFonts w:hint="eastAsia" w:ascii="方正小标宋简体" w:hAnsi="方正小标宋简体" w:eastAsia="方正小标宋简体" w:cs="方正小标宋简体"/>
          <w:sz w:val="84"/>
          <w:szCs w:val="84"/>
        </w:rPr>
        <w:t>第十三小学</w:t>
      </w:r>
    </w:p>
    <w:p>
      <w:pPr>
        <w:jc w:val="center"/>
        <w:rPr>
          <w:rFonts w:ascii="方正小标宋简体" w:hAnsi="方正小标宋简体" w:eastAsia="方正小标宋简体" w:cs="方正小标宋简体"/>
          <w:sz w:val="84"/>
          <w:szCs w:val="84"/>
        </w:rPr>
      </w:pPr>
      <w:r>
        <w:rPr>
          <w:rFonts w:hint="eastAsia" w:ascii="方正小标宋简体" w:hAnsi="方正小标宋简体" w:eastAsia="方正小标宋简体" w:cs="方正小标宋简体"/>
          <w:sz w:val="84"/>
          <w:szCs w:val="84"/>
        </w:rPr>
        <w:t>部门预算</w:t>
      </w: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spacing w:line="360" w:lineRule="auto"/>
        <w:jc w:val="center"/>
        <w:rPr>
          <w:rFonts w:ascii="宋体"/>
          <w:b/>
          <w:sz w:val="44"/>
          <w:szCs w:val="44"/>
        </w:rPr>
      </w:pPr>
    </w:p>
    <w:p>
      <w:pPr>
        <w:jc w:val="center"/>
        <w:rPr>
          <w:rFonts w:ascii="方正小标宋简体" w:hAnsi="方正小标宋简体" w:eastAsia="方正小标宋简体" w:cs="方正小标宋简体"/>
          <w:sz w:val="44"/>
          <w:szCs w:val="44"/>
        </w:rPr>
      </w:pPr>
    </w:p>
    <w:p>
      <w:pPr>
        <w:jc w:val="center"/>
        <w:rPr>
          <w:rFonts w:ascii="方正小标宋简体" w:hAnsi="方正小标宋简体" w:eastAsia="方正小标宋简体" w:cs="方正小标宋简体"/>
          <w:sz w:val="44"/>
          <w:szCs w:val="44"/>
        </w:rPr>
      </w:pPr>
    </w:p>
    <w:p>
      <w:pPr>
        <w:jc w:val="center"/>
        <w:rPr>
          <w:rFonts w:ascii="仿宋_GB2312" w:hAnsi="仿宋_GB2312" w:eastAsia="仿宋_GB2312" w:cs="仿宋_GB2312"/>
          <w:sz w:val="32"/>
          <w:szCs w:val="32"/>
        </w:rPr>
      </w:pPr>
      <w:r>
        <w:rPr>
          <w:rFonts w:hint="eastAsia" w:ascii="方正小标宋简体" w:hAnsi="方正小标宋简体" w:eastAsia="方正小标宋简体" w:cs="方正小标宋简体"/>
          <w:sz w:val="44"/>
          <w:szCs w:val="44"/>
        </w:rPr>
        <w:t>目</w:t>
      </w:r>
      <w:r>
        <w:rPr>
          <w:rFonts w:ascii="方正小标宋简体" w:hAnsi="方正小标宋简体" w:eastAsia="方正小标宋简体" w:cs="方正小标宋简体"/>
          <w:sz w:val="44"/>
          <w:szCs w:val="44"/>
        </w:rPr>
        <w:t xml:space="preserve"> </w:t>
      </w:r>
      <w:r>
        <w:rPr>
          <w:rFonts w:hint="eastAsia" w:ascii="方正小标宋简体" w:hAnsi="方正小标宋简体" w:eastAsia="方正小标宋简体" w:cs="方正小标宋简体"/>
          <w:sz w:val="44"/>
          <w:szCs w:val="44"/>
        </w:rPr>
        <w:t>录</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第一部分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第十三小学部门预算基本情况说明</w:t>
      </w:r>
    </w:p>
    <w:p>
      <w:pPr>
        <w:keepNext w:val="0"/>
        <w:keepLines w:val="0"/>
        <w:pageBreakBefore w:val="0"/>
        <w:numPr>
          <w:ilvl w:val="0"/>
          <w:numId w:val="1"/>
        </w:numPr>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部门基本情况</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（一）主要职责</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二、收入预算说明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三、支出预算说明</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三公</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经费说明</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五、其他需要说明的情况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（一）机关运行经费情况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（二）政府采购安排情况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（三）国有资产占有使用情况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（四）重点项目预算绩效目标设置情况</w:t>
      </w: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 xml:space="preserve">    （五）专业名词解释</w:t>
      </w:r>
    </w:p>
    <w:p>
      <w:pPr>
        <w:keepNext w:val="0"/>
        <w:keepLines w:val="0"/>
        <w:pageBreakBefore w:val="0"/>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p>
    <w:p>
      <w:pPr>
        <w:keepNext w:val="0"/>
        <w:keepLines w:val="0"/>
        <w:pageBreakBefore w:val="0"/>
        <w:kinsoku/>
        <w:wordWrap/>
        <w:overflowPunct/>
        <w:topLinePunct w:val="0"/>
        <w:autoSpaceDE/>
        <w:autoSpaceDN/>
        <w:bidi w:val="0"/>
        <w:adjustRightInd/>
        <w:spacing w:line="520" w:lineRule="exact"/>
        <w:ind w:left="0" w:leftChars="0" w:right="0" w:rightChars="0"/>
        <w:textAlignment w:val="auto"/>
        <w:outlineLvl w:val="9"/>
        <w:rPr>
          <w:rFonts w:ascii="黑体" w:hAnsi="黑体" w:eastAsia="黑体" w:cs="黑体"/>
          <w:sz w:val="32"/>
          <w:szCs w:val="32"/>
        </w:rPr>
      </w:pPr>
      <w:r>
        <w:rPr>
          <w:rFonts w:hint="eastAsia" w:ascii="黑体" w:hAnsi="黑体" w:eastAsia="黑体" w:cs="黑体"/>
          <w:sz w:val="32"/>
          <w:szCs w:val="32"/>
        </w:rPr>
        <w:t>第二部分</w:t>
      </w:r>
      <w:r>
        <w:rPr>
          <w:rFonts w:ascii="黑体" w:hAnsi="黑体" w:eastAsia="黑体" w:cs="黑体"/>
          <w:sz w:val="32"/>
          <w:szCs w:val="32"/>
        </w:rPr>
        <w:t xml:space="preserve">    2016 </w:t>
      </w:r>
      <w:r>
        <w:rPr>
          <w:rFonts w:hint="eastAsia" w:ascii="黑体" w:hAnsi="黑体" w:eastAsia="黑体" w:cs="黑体"/>
          <w:sz w:val="32"/>
          <w:szCs w:val="32"/>
        </w:rPr>
        <w:t>年</w:t>
      </w:r>
      <w:r>
        <w:rPr>
          <w:rFonts w:hint="eastAsia" w:ascii="黑体" w:hAnsi="黑体" w:eastAsia="黑体" w:cs="黑体"/>
          <w:sz w:val="32"/>
          <w:szCs w:val="32"/>
          <w:lang w:eastAsia="zh-CN"/>
        </w:rPr>
        <w:t>湛江市</w:t>
      </w:r>
      <w:r>
        <w:rPr>
          <w:rFonts w:hint="eastAsia" w:ascii="黑体" w:hAnsi="黑体" w:eastAsia="黑体" w:cs="黑体"/>
          <w:sz w:val="32"/>
          <w:szCs w:val="32"/>
        </w:rPr>
        <w:t>第十三小学部门预算表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一、</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年财政拨款收支总表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二、</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三、</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年一般公共预算基本支出表（部门经济分类）</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四、</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年一般公共预算“三公”经费支出表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五、</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年政府性基金预算支出表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六、</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年部门收支总表</w:t>
      </w:r>
    </w:p>
    <w:p>
      <w:pPr>
        <w:pStyle w:val="9"/>
        <w:keepNext w:val="0"/>
        <w:keepLines w:val="0"/>
        <w:pageBreakBefore w:val="0"/>
        <w:kinsoku/>
        <w:wordWrap/>
        <w:overflowPunct/>
        <w:topLinePunct w:val="0"/>
        <w:autoSpaceDE/>
        <w:autoSpaceDN/>
        <w:bidi w:val="0"/>
        <w:adjustRightInd/>
        <w:snapToGrid w:val="0"/>
        <w:spacing w:line="520" w:lineRule="exact"/>
        <w:ind w:left="0" w:leftChars="0" w:right="0" w:rightChars="0" w:firstLine="64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七、</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年部门收入表</w:t>
      </w:r>
    </w:p>
    <w:p>
      <w:pPr>
        <w:keepNext w:val="0"/>
        <w:keepLines w:val="0"/>
        <w:pageBreakBefore w:val="0"/>
        <w:widowControl/>
        <w:kinsoku/>
        <w:wordWrap/>
        <w:overflowPunct/>
        <w:topLinePunct w:val="0"/>
        <w:autoSpaceDE/>
        <w:autoSpaceDN/>
        <w:bidi w:val="0"/>
        <w:adjustRightInd/>
        <w:spacing w:line="520" w:lineRule="exact"/>
        <w:ind w:left="0" w:leftChars="0" w:right="0" w:rightChars="0" w:firstLine="640" w:firstLineChars="200"/>
        <w:textAlignment w:val="auto"/>
        <w:outlineLvl w:val="9"/>
        <w:rPr>
          <w:rFonts w:ascii="仿宋_GB2312" w:hAnsi="仿宋_GB2312" w:eastAsia="仿宋_GB2312" w:cs="仿宋_GB2312"/>
          <w:sz w:val="32"/>
          <w:szCs w:val="32"/>
        </w:rPr>
      </w:pPr>
      <w:r>
        <w:rPr>
          <w:rFonts w:hint="eastAsia" w:ascii="仿宋_GB2312" w:hAnsi="仿宋_GB2312" w:eastAsia="仿宋_GB2312" w:cs="仿宋_GB2312"/>
          <w:sz w:val="32"/>
          <w:szCs w:val="32"/>
        </w:rPr>
        <w:t>八、</w:t>
      </w: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年部门支出表</w:t>
      </w:r>
    </w:p>
    <w:p>
      <w:pPr>
        <w:spacing w:line="360" w:lineRule="auto"/>
        <w:jc w:val="center"/>
        <w:rPr>
          <w:rFonts w:ascii="宋体"/>
          <w:b/>
          <w:sz w:val="44"/>
          <w:szCs w:val="44"/>
        </w:rPr>
      </w:pPr>
      <w:r>
        <w:rPr>
          <w:rFonts w:ascii="宋体" w:hAnsi="宋体"/>
          <w:b/>
          <w:sz w:val="44"/>
          <w:szCs w:val="44"/>
        </w:rPr>
        <w:t>2016</w:t>
      </w:r>
      <w:r>
        <w:rPr>
          <w:rFonts w:hint="eastAsia" w:ascii="宋体" w:hAnsi="宋体"/>
          <w:b/>
          <w:sz w:val="44"/>
          <w:szCs w:val="44"/>
        </w:rPr>
        <w:t>年</w:t>
      </w:r>
      <w:r>
        <w:rPr>
          <w:rFonts w:hint="eastAsia" w:ascii="宋体" w:hAnsi="宋体"/>
          <w:b/>
          <w:sz w:val="44"/>
          <w:szCs w:val="44"/>
          <w:lang w:eastAsia="zh-CN"/>
        </w:rPr>
        <w:t>湛江市</w:t>
      </w:r>
      <w:r>
        <w:rPr>
          <w:rFonts w:hint="eastAsia" w:ascii="宋体" w:hAnsi="宋体"/>
          <w:b/>
          <w:sz w:val="44"/>
          <w:szCs w:val="44"/>
        </w:rPr>
        <w:t>第十三小学</w:t>
      </w:r>
      <w:r>
        <w:rPr>
          <w:rFonts w:hint="eastAsia" w:ascii="宋体" w:hAnsi="宋体"/>
          <w:b/>
          <w:sz w:val="44"/>
          <w:szCs w:val="44"/>
          <w:lang w:eastAsia="zh-CN"/>
        </w:rPr>
        <w:t>部门</w:t>
      </w:r>
      <w:r>
        <w:rPr>
          <w:rFonts w:hint="eastAsia" w:ascii="宋体" w:hAnsi="宋体"/>
          <w:b/>
          <w:sz w:val="44"/>
          <w:szCs w:val="44"/>
        </w:rPr>
        <w:t>预算</w:t>
      </w:r>
      <w:r>
        <w:rPr>
          <w:rFonts w:hint="eastAsia" w:ascii="宋体" w:hAnsi="宋体"/>
          <w:b/>
          <w:sz w:val="44"/>
          <w:szCs w:val="44"/>
          <w:lang w:eastAsia="zh-CN"/>
        </w:rPr>
        <w:t>基本</w:t>
      </w:r>
      <w:r>
        <w:rPr>
          <w:rFonts w:hint="eastAsia" w:ascii="宋体" w:hAnsi="宋体"/>
          <w:b/>
          <w:sz w:val="44"/>
          <w:szCs w:val="44"/>
        </w:rPr>
        <w:t>情况说明</w:t>
      </w:r>
    </w:p>
    <w:p>
      <w:pPr>
        <w:spacing w:line="360" w:lineRule="auto"/>
        <w:jc w:val="center"/>
        <w:rPr>
          <w:rFonts w:ascii="宋体"/>
          <w:b/>
          <w:bCs/>
          <w:sz w:val="36"/>
          <w:szCs w:val="36"/>
        </w:rPr>
      </w:pPr>
    </w:p>
    <w:p>
      <w:pPr>
        <w:spacing w:line="360" w:lineRule="auto"/>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一、部门基本情况</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（一）主要职责</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湛江市第十三小学是全日制公办小学。主要职能是为国家培养人才，教育入学儿童。</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（二）机构设置</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本部门无下属单位，部门预算为本级预算。</w:t>
      </w:r>
    </w:p>
    <w:p>
      <w:pPr>
        <w:spacing w:line="500" w:lineRule="exact"/>
        <w:ind w:firstLine="600" w:firstLineChars="200"/>
        <w:outlineLvl w:val="0"/>
        <w:rPr>
          <w:rFonts w:ascii="仿宋_GB2312" w:hAnsi="仿宋_GB2312" w:eastAsia="仿宋_GB2312" w:cs="仿宋_GB2312"/>
          <w:spacing w:val="-10"/>
          <w:sz w:val="32"/>
          <w:szCs w:val="32"/>
        </w:rPr>
      </w:pPr>
      <w:r>
        <w:rPr>
          <w:rFonts w:hint="eastAsia" w:ascii="仿宋_GB2312" w:hAnsi="仿宋_GB2312" w:eastAsia="仿宋_GB2312" w:cs="仿宋_GB2312"/>
          <w:spacing w:val="-10"/>
          <w:sz w:val="32"/>
          <w:szCs w:val="32"/>
        </w:rPr>
        <w:t>我校为独立核算单位</w:t>
      </w:r>
      <w:r>
        <w:rPr>
          <w:rFonts w:ascii="仿宋_GB2312" w:hAnsi="仿宋_GB2312" w:eastAsia="仿宋_GB2312" w:cs="仿宋_GB2312"/>
          <w:spacing w:val="-10"/>
          <w:sz w:val="32"/>
          <w:szCs w:val="32"/>
        </w:rPr>
        <w:t>1</w:t>
      </w:r>
      <w:r>
        <w:rPr>
          <w:rFonts w:hint="eastAsia" w:ascii="仿宋_GB2312" w:hAnsi="仿宋_GB2312" w:eastAsia="仿宋_GB2312" w:cs="仿宋_GB2312"/>
          <w:spacing w:val="-10"/>
          <w:sz w:val="32"/>
          <w:szCs w:val="32"/>
        </w:rPr>
        <w:t>个</w:t>
      </w:r>
      <w:r>
        <w:rPr>
          <w:rFonts w:ascii="仿宋_GB2312" w:hAnsi="仿宋_GB2312" w:eastAsia="仿宋_GB2312" w:cs="仿宋_GB2312"/>
          <w:spacing w:val="-10"/>
          <w:sz w:val="32"/>
          <w:szCs w:val="32"/>
        </w:rPr>
        <w:t>,</w:t>
      </w:r>
      <w:r>
        <w:rPr>
          <w:rFonts w:hint="eastAsia" w:ascii="仿宋_GB2312" w:hAnsi="仿宋_GB2312" w:eastAsia="仿宋_GB2312" w:cs="仿宋_GB2312"/>
          <w:spacing w:val="-10"/>
          <w:sz w:val="32"/>
          <w:szCs w:val="32"/>
        </w:rPr>
        <w:t>设教务处、政教处、总务处、办公室等。</w:t>
      </w:r>
    </w:p>
    <w:p>
      <w:pPr>
        <w:spacing w:line="500" w:lineRule="exact"/>
        <w:ind w:firstLine="643" w:firstLineChars="200"/>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二、收入预算说明</w:t>
      </w:r>
    </w:p>
    <w:p>
      <w:pPr>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年预算收入</w:t>
      </w:r>
      <w:r>
        <w:rPr>
          <w:rFonts w:ascii="仿宋_GB2312" w:hAnsi="仿宋_GB2312" w:eastAsia="仿宋_GB2312" w:cs="仿宋_GB2312"/>
          <w:sz w:val="32"/>
          <w:szCs w:val="32"/>
        </w:rPr>
        <w:t>256.6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31.56</w:t>
      </w:r>
      <w:r>
        <w:rPr>
          <w:rFonts w:hint="eastAsia" w:ascii="仿宋_GB2312" w:hAnsi="仿宋_GB2312" w:eastAsia="仿宋_GB2312" w:cs="仿宋_GB2312"/>
          <w:sz w:val="32"/>
          <w:szCs w:val="32"/>
        </w:rPr>
        <w:t>万元。增加14.02%，增加的原因的由于工资福利支出和对个人和家庭的补助及一般商品和服务支出增加。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其中：预算经费安排拨款</w:t>
      </w:r>
      <w:r>
        <w:rPr>
          <w:rFonts w:ascii="仿宋_GB2312" w:hAnsi="仿宋_GB2312" w:eastAsia="仿宋_GB2312" w:cs="仿宋_GB2312"/>
          <w:sz w:val="32"/>
          <w:szCs w:val="32"/>
        </w:rPr>
        <w:t>256.6</w:t>
      </w:r>
      <w:r>
        <w:rPr>
          <w:rFonts w:hint="eastAsia" w:ascii="仿宋_GB2312" w:hAnsi="仿宋_GB2312" w:eastAsia="仿宋_GB2312" w:cs="仿宋_GB2312"/>
          <w:sz w:val="32"/>
          <w:szCs w:val="32"/>
        </w:rPr>
        <w:t>万元，其他非税收入安排拨款</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三、支出预算说明</w:t>
      </w:r>
    </w:p>
    <w:p>
      <w:pPr>
        <w:spacing w:line="500" w:lineRule="exact"/>
        <w:ind w:firstLine="640" w:firstLineChars="200"/>
        <w:rPr>
          <w:rFonts w:ascii="仿宋_GB2312" w:hAnsi="仿宋_GB2312" w:eastAsia="仿宋_GB2312" w:cs="仿宋_GB2312"/>
          <w:sz w:val="32"/>
          <w:szCs w:val="32"/>
        </w:rPr>
      </w:pPr>
      <w:r>
        <w:rPr>
          <w:rFonts w:ascii="仿宋_GB2312" w:hAnsi="仿宋_GB2312" w:eastAsia="仿宋_GB2312" w:cs="仿宋_GB2312"/>
          <w:sz w:val="32"/>
          <w:szCs w:val="32"/>
        </w:rPr>
        <w:t>2016</w:t>
      </w:r>
      <w:r>
        <w:rPr>
          <w:rFonts w:hint="eastAsia" w:ascii="仿宋_GB2312" w:hAnsi="仿宋_GB2312" w:eastAsia="仿宋_GB2312" w:cs="仿宋_GB2312"/>
          <w:sz w:val="32"/>
          <w:szCs w:val="32"/>
        </w:rPr>
        <w:t>年支出预算</w:t>
      </w:r>
      <w:r>
        <w:rPr>
          <w:rFonts w:ascii="仿宋_GB2312" w:hAnsi="仿宋_GB2312" w:eastAsia="仿宋_GB2312" w:cs="仿宋_GB2312"/>
          <w:sz w:val="32"/>
          <w:szCs w:val="32"/>
        </w:rPr>
        <w:t>256.6</w:t>
      </w:r>
      <w:r>
        <w:rPr>
          <w:rFonts w:hint="eastAsia" w:ascii="仿宋_GB2312" w:hAnsi="仿宋_GB2312" w:eastAsia="仿宋_GB2312" w:cs="仿宋_GB2312"/>
          <w:sz w:val="32"/>
          <w:szCs w:val="32"/>
        </w:rPr>
        <w:t>万元，同比增加</w:t>
      </w:r>
      <w:r>
        <w:rPr>
          <w:rFonts w:ascii="仿宋_GB2312" w:hAnsi="仿宋_GB2312" w:eastAsia="仿宋_GB2312" w:cs="仿宋_GB2312"/>
          <w:sz w:val="32"/>
          <w:szCs w:val="32"/>
        </w:rPr>
        <w:t>31.56</w:t>
      </w:r>
      <w:r>
        <w:rPr>
          <w:rFonts w:hint="eastAsia" w:ascii="仿宋_GB2312" w:hAnsi="仿宋_GB2312" w:eastAsia="仿宋_GB2312" w:cs="仿宋_GB2312"/>
          <w:sz w:val="32"/>
          <w:szCs w:val="32"/>
        </w:rPr>
        <w:t>万元。增加14.02%，增加的原因的由于工资福利支出和对个人和家庭的补助及一般商品和服务支出增加。</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支出按经济分类划分：</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、基本支出预算</w:t>
      </w:r>
      <w:r>
        <w:rPr>
          <w:rFonts w:ascii="仿宋_GB2312" w:hAnsi="仿宋_GB2312" w:eastAsia="仿宋_GB2312" w:cs="仿宋_GB2312"/>
          <w:sz w:val="32"/>
          <w:szCs w:val="32"/>
        </w:rPr>
        <w:t>252.68</w:t>
      </w:r>
      <w:r>
        <w:rPr>
          <w:rFonts w:hint="eastAsia" w:ascii="仿宋_GB2312" w:hAnsi="仿宋_GB2312" w:eastAsia="仿宋_GB2312" w:cs="仿宋_GB2312"/>
          <w:sz w:val="32"/>
          <w:szCs w:val="32"/>
        </w:rPr>
        <w:t>万元，其中：工资福利支出</w:t>
      </w:r>
      <w:r>
        <w:rPr>
          <w:rFonts w:ascii="仿宋_GB2312" w:hAnsi="仿宋_GB2312" w:eastAsia="仿宋_GB2312" w:cs="仿宋_GB2312"/>
          <w:sz w:val="32"/>
          <w:szCs w:val="32"/>
        </w:rPr>
        <w:t>153.36</w:t>
      </w:r>
      <w:r>
        <w:rPr>
          <w:rFonts w:hint="eastAsia" w:ascii="仿宋_GB2312" w:hAnsi="仿宋_GB2312" w:eastAsia="仿宋_GB2312" w:cs="仿宋_GB2312"/>
          <w:sz w:val="32"/>
          <w:szCs w:val="32"/>
        </w:rPr>
        <w:t>万元，一般商品和服务支出</w:t>
      </w:r>
      <w:r>
        <w:rPr>
          <w:rFonts w:ascii="仿宋_GB2312" w:hAnsi="仿宋_GB2312" w:eastAsia="仿宋_GB2312" w:cs="仿宋_GB2312"/>
          <w:sz w:val="32"/>
          <w:szCs w:val="32"/>
        </w:rPr>
        <w:t>47.04</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w:t>
      </w:r>
      <w:r>
        <w:t xml:space="preserve"> </w:t>
      </w:r>
      <w:r>
        <w:rPr>
          <w:rFonts w:hint="eastAsia" w:ascii="仿宋_GB2312" w:hAnsi="仿宋_GB2312" w:eastAsia="仿宋_GB2312" w:cs="仿宋_GB2312"/>
          <w:sz w:val="32"/>
          <w:szCs w:val="32"/>
        </w:rPr>
        <w:t>对个人和家庭的补助支出</w:t>
      </w:r>
      <w:r>
        <w:rPr>
          <w:rFonts w:ascii="仿宋_GB2312" w:hAnsi="仿宋_GB2312" w:eastAsia="仿宋_GB2312" w:cs="仿宋_GB2312"/>
          <w:sz w:val="32"/>
          <w:szCs w:val="32"/>
        </w:rPr>
        <w:t>52.28</w:t>
      </w:r>
      <w:r>
        <w:rPr>
          <w:rFonts w:hint="eastAsia" w:ascii="仿宋_GB2312" w:hAnsi="仿宋_GB2312" w:eastAsia="仿宋_GB2312" w:cs="仿宋_GB2312"/>
          <w:sz w:val="32"/>
          <w:szCs w:val="32"/>
        </w:rPr>
        <w:t>万元。</w:t>
      </w:r>
      <w:r>
        <w:rPr>
          <w:rFonts w:ascii="仿宋_GB2312" w:hAnsi="仿宋_GB2312" w:eastAsia="仿宋_GB2312" w:cs="仿宋_GB2312"/>
          <w:sz w:val="32"/>
          <w:szCs w:val="32"/>
        </w:rPr>
        <w:t>2</w:t>
      </w:r>
      <w:r>
        <w:rPr>
          <w:rFonts w:hint="eastAsia" w:ascii="仿宋_GB2312" w:hAnsi="仿宋_GB2312" w:eastAsia="仿宋_GB2312" w:cs="仿宋_GB2312"/>
          <w:sz w:val="32"/>
          <w:szCs w:val="32"/>
        </w:rPr>
        <w:t>、项目支出预算</w:t>
      </w:r>
      <w:r>
        <w:rPr>
          <w:rFonts w:ascii="仿宋_GB2312" w:hAnsi="仿宋_GB2312" w:eastAsia="仿宋_GB2312" w:cs="仿宋_GB2312"/>
          <w:sz w:val="32"/>
          <w:szCs w:val="32"/>
        </w:rPr>
        <w:t>3.92</w:t>
      </w:r>
      <w:r>
        <w:rPr>
          <w:rFonts w:hint="eastAsia" w:ascii="仿宋_GB2312" w:hAnsi="仿宋_GB2312" w:eastAsia="仿宋_GB2312" w:cs="仿宋_GB2312"/>
          <w:sz w:val="32"/>
          <w:szCs w:val="32"/>
        </w:rPr>
        <w:t>万元。</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四、“三公经费”说明</w:t>
      </w:r>
    </w:p>
    <w:p>
      <w:pPr>
        <w:ind w:firstLine="600" w:firstLineChars="200"/>
        <w:rPr>
          <w:rFonts w:ascii="宋体" w:hAnsi="宋体"/>
          <w:sz w:val="32"/>
          <w:szCs w:val="32"/>
        </w:rPr>
      </w:pPr>
      <w:r>
        <w:rPr>
          <w:rFonts w:hint="eastAsia" w:ascii="仿宋_GB2312" w:hAnsi="宋体" w:eastAsia="仿宋_GB2312"/>
          <w:sz w:val="30"/>
          <w:szCs w:val="30"/>
        </w:rPr>
        <w:t>2016</w:t>
      </w:r>
      <w:r>
        <w:rPr>
          <w:rFonts w:hint="eastAsia" w:ascii="仿宋_GB2312" w:hAnsi="Calibri" w:eastAsia="仿宋_GB2312"/>
          <w:sz w:val="30"/>
          <w:szCs w:val="30"/>
        </w:rPr>
        <w:t>年“三公经费”预算安排共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lang w:val="en-US" w:eastAsia="zh-CN"/>
        </w:rPr>
        <w:t>,其中</w:t>
      </w:r>
      <w:r>
        <w:rPr>
          <w:rFonts w:hint="eastAsia" w:ascii="仿宋_GB2312" w:hAnsi="Calibri" w:eastAsia="仿宋_GB2312"/>
          <w:sz w:val="30"/>
          <w:szCs w:val="30"/>
        </w:rPr>
        <w:t>：因公出国（境）费预算安排0万元，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。公务用车购置及运行维护费预算安排 0万元，</w:t>
      </w:r>
      <w:r>
        <w:rPr>
          <w:rFonts w:hint="eastAsia" w:ascii="仿宋_GB2312" w:hAnsi="Calibri" w:eastAsia="仿宋_GB2312"/>
          <w:sz w:val="30"/>
          <w:szCs w:val="30"/>
          <w:lang w:eastAsia="zh-CN"/>
        </w:rPr>
        <w:t>与上年持平</w:t>
      </w:r>
      <w:r>
        <w:rPr>
          <w:rFonts w:hint="eastAsia" w:ascii="仿宋_GB2312" w:hAnsi="Calibri" w:eastAsia="仿宋_GB2312"/>
          <w:sz w:val="30"/>
          <w:szCs w:val="30"/>
        </w:rPr>
        <w:t>。公务接待费预算安排0万元</w:t>
      </w:r>
      <w:r>
        <w:rPr>
          <w:rFonts w:hint="eastAsia" w:ascii="仿宋_GB2312" w:hAnsi="Calibri" w:eastAsia="仿宋_GB2312"/>
          <w:sz w:val="30"/>
          <w:szCs w:val="30"/>
          <w:lang w:val="en-US" w:eastAsia="zh-CN"/>
        </w:rPr>
        <w:t>,</w:t>
      </w:r>
      <w:r>
        <w:rPr>
          <w:rFonts w:hint="eastAsia" w:ascii="仿宋_GB2312" w:hAnsi="Calibri" w:eastAsia="仿宋_GB2312"/>
          <w:sz w:val="30"/>
          <w:szCs w:val="30"/>
          <w:lang w:eastAsia="zh-CN"/>
        </w:rPr>
        <w:t>与上年持平</w:t>
      </w:r>
      <w:r>
        <w:rPr>
          <w:rFonts w:hint="eastAsia" w:ascii="宋体" w:hAnsi="宋体"/>
          <w:sz w:val="32"/>
          <w:szCs w:val="32"/>
        </w:rPr>
        <w:t>。</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五、其他需要说明的情况</w:t>
      </w:r>
    </w:p>
    <w:p>
      <w:pPr>
        <w:spacing w:line="500" w:lineRule="exact"/>
        <w:ind w:firstLine="643" w:firstLineChars="200"/>
        <w:rPr>
          <w:rFonts w:ascii="仿宋_GB2312" w:hAnsi="仿宋_GB2312" w:eastAsia="仿宋_GB2312" w:cs="仿宋_GB2312"/>
          <w:b/>
          <w:sz w:val="32"/>
          <w:szCs w:val="32"/>
        </w:rPr>
      </w:pPr>
      <w:r>
        <w:rPr>
          <w:rFonts w:hint="eastAsia" w:ascii="仿宋_GB2312" w:hAnsi="仿宋_GB2312" w:eastAsia="仿宋_GB2312" w:cs="仿宋_GB2312"/>
          <w:b/>
          <w:sz w:val="32"/>
          <w:szCs w:val="32"/>
        </w:rPr>
        <w:t>（一）关于“机关运行经费”支出的说明</w:t>
      </w:r>
    </w:p>
    <w:p>
      <w:pPr>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本部门为事业单位，无“机关运行经费”。</w:t>
      </w:r>
    </w:p>
    <w:p>
      <w:pPr>
        <w:ind w:firstLine="600" w:firstLineChars="200"/>
        <w:rPr>
          <w:rFonts w:ascii="仿宋_GB2312" w:hAnsi="仿宋_GB2312" w:eastAsia="仿宋_GB2312" w:cs="仿宋_GB2312"/>
          <w:b/>
          <w:sz w:val="32"/>
          <w:szCs w:val="32"/>
        </w:rPr>
      </w:pPr>
      <w:r>
        <w:rPr>
          <w:rFonts w:hint="eastAsia" w:ascii="仿宋_GB2312" w:hAnsi="仿宋_GB2312" w:eastAsia="仿宋_GB2312" w:cs="仿宋_GB2312"/>
          <w:spacing w:val="-10"/>
          <w:sz w:val="32"/>
          <w:szCs w:val="32"/>
        </w:rPr>
        <w:t>（二）</w:t>
      </w:r>
      <w:r>
        <w:rPr>
          <w:rFonts w:hint="eastAsia" w:ascii="仿宋_GB2312" w:hAnsi="仿宋_GB2312" w:eastAsia="仿宋_GB2312" w:cs="仿宋_GB2312"/>
          <w:b/>
          <w:sz w:val="32"/>
          <w:szCs w:val="32"/>
        </w:rPr>
        <w:t>关于政府采购支出说明：</w:t>
      </w:r>
    </w:p>
    <w:p>
      <w:pPr>
        <w:spacing w:line="50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政府采购安排为零。</w:t>
      </w:r>
    </w:p>
    <w:p>
      <w:pPr>
        <w:spacing w:line="580" w:lineRule="exact"/>
        <w:ind w:firstLine="602"/>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（三）</w:t>
      </w:r>
      <w:r>
        <w:rPr>
          <w:rFonts w:hint="eastAsia" w:ascii="仿宋_GB2312" w:hAnsi="仿宋_GB2312" w:eastAsia="仿宋_GB2312" w:cs="仿宋_GB2312"/>
          <w:b/>
          <w:bCs/>
          <w:sz w:val="32"/>
          <w:szCs w:val="32"/>
        </w:rPr>
        <w:t>国有资产占有使用情况</w:t>
      </w:r>
      <w:r>
        <w:rPr>
          <w:rFonts w:hint="eastAsia" w:ascii="仿宋_GB2312" w:hAnsi="仿宋_GB2312" w:eastAsia="仿宋_GB2312" w:cs="仿宋_GB2312"/>
          <w:sz w:val="32"/>
          <w:szCs w:val="32"/>
        </w:rPr>
        <w:t>：截至</w:t>
      </w:r>
      <w:r>
        <w:rPr>
          <w:rFonts w:ascii="仿宋_GB2312" w:hAnsi="仿宋_GB2312" w:eastAsia="仿宋_GB2312" w:cs="仿宋_GB2312"/>
          <w:sz w:val="32"/>
          <w:szCs w:val="32"/>
        </w:rPr>
        <w:t>2015</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12</w:t>
      </w:r>
      <w:r>
        <w:rPr>
          <w:rFonts w:hint="eastAsia" w:ascii="仿宋_GB2312" w:hAnsi="仿宋_GB2312" w:eastAsia="仿宋_GB2312" w:cs="仿宋_GB2312"/>
          <w:sz w:val="32"/>
          <w:szCs w:val="32"/>
        </w:rPr>
        <w:t>月</w:t>
      </w:r>
      <w:r>
        <w:rPr>
          <w:rFonts w:ascii="仿宋_GB2312" w:hAnsi="仿宋_GB2312" w:eastAsia="仿宋_GB2312" w:cs="仿宋_GB2312"/>
          <w:sz w:val="32"/>
          <w:szCs w:val="32"/>
        </w:rPr>
        <w:t>31</w:t>
      </w:r>
      <w:r>
        <w:rPr>
          <w:rFonts w:hint="eastAsia" w:ascii="仿宋_GB2312" w:hAnsi="仿宋_GB2312" w:eastAsia="仿宋_GB2312" w:cs="仿宋_GB2312"/>
          <w:sz w:val="32"/>
          <w:szCs w:val="32"/>
        </w:rPr>
        <w:t>日，本部门国有资产总额为217.79万元。</w:t>
      </w:r>
      <w:bookmarkStart w:id="0" w:name="_GoBack"/>
      <w:bookmarkEnd w:id="0"/>
      <w:r>
        <w:rPr>
          <w:rFonts w:hint="eastAsia" w:ascii="仿宋_GB2312" w:hAnsi="仿宋_GB2312" w:eastAsia="仿宋_GB2312" w:cs="仿宋_GB2312"/>
          <w:sz w:val="32"/>
          <w:szCs w:val="32"/>
        </w:rPr>
        <w:t>本部门共有车辆</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辆，单位价值20万元以上大型设备</w:t>
      </w:r>
      <w:r>
        <w:rPr>
          <w:rFonts w:ascii="仿宋_GB2312" w:hAnsi="仿宋_GB2312" w:eastAsia="仿宋_GB2312" w:cs="仿宋_GB2312"/>
          <w:sz w:val="32"/>
          <w:szCs w:val="32"/>
        </w:rPr>
        <w:t>0</w:t>
      </w:r>
      <w:r>
        <w:rPr>
          <w:rFonts w:hint="eastAsia" w:ascii="仿宋_GB2312" w:hAnsi="仿宋_GB2312" w:eastAsia="仿宋_GB2312" w:cs="仿宋_GB2312"/>
          <w:sz w:val="32"/>
          <w:szCs w:val="32"/>
        </w:rPr>
        <w:t>台（套）。</w:t>
      </w:r>
    </w:p>
    <w:p>
      <w:pPr>
        <w:spacing w:line="500" w:lineRule="exact"/>
        <w:ind w:firstLine="600" w:firstLineChars="200"/>
        <w:rPr>
          <w:rFonts w:ascii="仿宋_GB2312" w:hAnsi="仿宋_GB2312" w:eastAsia="仿宋_GB2312" w:cs="仿宋_GB2312"/>
          <w:sz w:val="32"/>
          <w:szCs w:val="32"/>
        </w:rPr>
      </w:pPr>
      <w:r>
        <w:rPr>
          <w:rFonts w:hint="eastAsia" w:ascii="仿宋_GB2312" w:hAnsi="仿宋_GB2312" w:eastAsia="仿宋_GB2312" w:cs="仿宋_GB2312"/>
          <w:spacing w:val="-10"/>
          <w:sz w:val="32"/>
          <w:szCs w:val="32"/>
        </w:rPr>
        <w:t>（四）</w:t>
      </w:r>
      <w:r>
        <w:rPr>
          <w:rFonts w:hint="eastAsia" w:ascii="仿宋_GB2312" w:hAnsi="仿宋_GB2312" w:eastAsia="仿宋_GB2312" w:cs="仿宋_GB2312"/>
          <w:b/>
          <w:bCs/>
          <w:sz w:val="32"/>
          <w:szCs w:val="32"/>
        </w:rPr>
        <w:t>重点项目预算绩效目标设置情况</w:t>
      </w:r>
      <w:r>
        <w:rPr>
          <w:rFonts w:hint="eastAsia" w:ascii="仿宋_GB2312" w:hAnsi="仿宋_GB2312" w:eastAsia="仿宋_GB2312" w:cs="仿宋_GB2312"/>
          <w:sz w:val="32"/>
          <w:szCs w:val="32"/>
        </w:rPr>
        <w:t>：无</w:t>
      </w:r>
    </w:p>
    <w:p>
      <w:pPr>
        <w:widowControl/>
        <w:shd w:val="clear" w:color="auto" w:fill="FFFFFF"/>
        <w:spacing w:line="500" w:lineRule="atLeast"/>
        <w:ind w:firstLine="630"/>
        <w:rPr>
          <w:rFonts w:ascii="仿宋_GB2312" w:hAnsi="仿宋_GB2312" w:eastAsia="仿宋_GB2312" w:cs="仿宋_GB2312"/>
          <w:color w:val="000000"/>
          <w:sz w:val="32"/>
          <w:szCs w:val="32"/>
        </w:rPr>
      </w:pPr>
      <w:r>
        <w:rPr>
          <w:rFonts w:hint="eastAsia" w:ascii="仿宋_GB2312" w:hAnsi="仿宋_GB2312" w:eastAsia="仿宋_GB2312" w:cs="仿宋_GB2312"/>
          <w:spacing w:val="-10"/>
          <w:sz w:val="32"/>
          <w:szCs w:val="32"/>
        </w:rPr>
        <w:t>（五）</w:t>
      </w:r>
      <w:r>
        <w:rPr>
          <w:rFonts w:hint="eastAsia" w:ascii="仿宋_GB2312" w:hAnsi="仿宋_GB2312" w:eastAsia="仿宋_GB2312" w:cs="仿宋_GB2312"/>
          <w:b/>
          <w:bCs/>
          <w:color w:val="000000"/>
          <w:kern w:val="0"/>
          <w:sz w:val="32"/>
          <w:szCs w:val="32"/>
          <w:shd w:val="clear" w:color="auto" w:fill="FFFFFF"/>
        </w:rPr>
        <w:t>专业性较强的名词解释</w:t>
      </w: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kern w:val="0"/>
          <w:sz w:val="32"/>
          <w:szCs w:val="32"/>
          <w:shd w:val="clear" w:color="auto" w:fill="FFFFFF"/>
        </w:rPr>
        <w:t>无。</w:t>
      </w:r>
    </w:p>
    <w:p>
      <w:pPr>
        <w:spacing w:line="500" w:lineRule="exact"/>
        <w:rPr>
          <w:rFonts w:ascii="仿宋_GB2312" w:hAnsi="仿宋_GB2312" w:eastAsia="仿宋_GB2312" w:cs="仿宋_GB2312"/>
          <w:sz w:val="32"/>
          <w:szCs w:val="32"/>
        </w:rPr>
      </w:pPr>
    </w:p>
    <w:sectPr>
      <w:head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5"/>
      </w:rPr>
    </w:pPr>
    <w:r>
      <w:rPr>
        <w:rStyle w:val="5"/>
      </w:rPr>
      <w:fldChar w:fldCharType="begin"/>
    </w:r>
    <w:r>
      <w:rPr>
        <w:rStyle w:val="5"/>
      </w:rPr>
      <w:instrText xml:space="preserve">PAGE  </w:instrText>
    </w:r>
    <w:r>
      <w:rPr>
        <w:rStyle w:val="5"/>
      </w:rP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0DB23"/>
    <w:multiLevelType w:val="singleLevel"/>
    <w:tmpl w:val="5AB0DB23"/>
    <w:lvl w:ilvl="0" w:tentative="0">
      <w:start w:val="1"/>
      <w:numFmt w:val="chineseCounting"/>
      <w:suff w:val="nothing"/>
      <w:lvlText w:val="%1、"/>
      <w:lvlJc w:val="left"/>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714F0"/>
    <w:rsid w:val="00035FBD"/>
    <w:rsid w:val="000365A0"/>
    <w:rsid w:val="00041B48"/>
    <w:rsid w:val="000436EA"/>
    <w:rsid w:val="000C08A2"/>
    <w:rsid w:val="000D1849"/>
    <w:rsid w:val="000D1AD5"/>
    <w:rsid w:val="000F2E34"/>
    <w:rsid w:val="00101364"/>
    <w:rsid w:val="00111D57"/>
    <w:rsid w:val="00117B8F"/>
    <w:rsid w:val="00131A36"/>
    <w:rsid w:val="0019167A"/>
    <w:rsid w:val="001A62D7"/>
    <w:rsid w:val="001A760E"/>
    <w:rsid w:val="001D2453"/>
    <w:rsid w:val="00222D50"/>
    <w:rsid w:val="00236A06"/>
    <w:rsid w:val="00252249"/>
    <w:rsid w:val="00266742"/>
    <w:rsid w:val="00271072"/>
    <w:rsid w:val="00280BC7"/>
    <w:rsid w:val="0028591B"/>
    <w:rsid w:val="002A69DA"/>
    <w:rsid w:val="002D2E4D"/>
    <w:rsid w:val="002E6A6D"/>
    <w:rsid w:val="002F3C43"/>
    <w:rsid w:val="003039DD"/>
    <w:rsid w:val="003164F1"/>
    <w:rsid w:val="003304DA"/>
    <w:rsid w:val="00351DA6"/>
    <w:rsid w:val="00360035"/>
    <w:rsid w:val="0038115A"/>
    <w:rsid w:val="00383DF7"/>
    <w:rsid w:val="00394F10"/>
    <w:rsid w:val="003D5742"/>
    <w:rsid w:val="004038A5"/>
    <w:rsid w:val="00425E92"/>
    <w:rsid w:val="00467D47"/>
    <w:rsid w:val="0048633A"/>
    <w:rsid w:val="004956D7"/>
    <w:rsid w:val="004A57B4"/>
    <w:rsid w:val="004D4EFB"/>
    <w:rsid w:val="004D7796"/>
    <w:rsid w:val="004E3B1F"/>
    <w:rsid w:val="004E477C"/>
    <w:rsid w:val="00513A88"/>
    <w:rsid w:val="00540747"/>
    <w:rsid w:val="00552EC5"/>
    <w:rsid w:val="005967DA"/>
    <w:rsid w:val="005F088B"/>
    <w:rsid w:val="005F4CEA"/>
    <w:rsid w:val="0065390B"/>
    <w:rsid w:val="00665873"/>
    <w:rsid w:val="0066604A"/>
    <w:rsid w:val="00673A08"/>
    <w:rsid w:val="00676A13"/>
    <w:rsid w:val="00691C5E"/>
    <w:rsid w:val="006974DC"/>
    <w:rsid w:val="006C2A44"/>
    <w:rsid w:val="006E403F"/>
    <w:rsid w:val="006E5365"/>
    <w:rsid w:val="00704AA5"/>
    <w:rsid w:val="00741CE3"/>
    <w:rsid w:val="00753CB4"/>
    <w:rsid w:val="0076087A"/>
    <w:rsid w:val="007C04AA"/>
    <w:rsid w:val="007C0EDA"/>
    <w:rsid w:val="007C3F3F"/>
    <w:rsid w:val="007E2506"/>
    <w:rsid w:val="007F5E9F"/>
    <w:rsid w:val="00805EA0"/>
    <w:rsid w:val="00810BCA"/>
    <w:rsid w:val="00835A16"/>
    <w:rsid w:val="00863ECF"/>
    <w:rsid w:val="0087692E"/>
    <w:rsid w:val="00895A57"/>
    <w:rsid w:val="00897BF5"/>
    <w:rsid w:val="008A0BA9"/>
    <w:rsid w:val="008C1BC3"/>
    <w:rsid w:val="008F5307"/>
    <w:rsid w:val="00915D64"/>
    <w:rsid w:val="00916055"/>
    <w:rsid w:val="00931F2D"/>
    <w:rsid w:val="00937B66"/>
    <w:rsid w:val="00941B91"/>
    <w:rsid w:val="00967EC2"/>
    <w:rsid w:val="009750A6"/>
    <w:rsid w:val="009914C4"/>
    <w:rsid w:val="009A06ED"/>
    <w:rsid w:val="009A74C9"/>
    <w:rsid w:val="009B3A9A"/>
    <w:rsid w:val="009D02BF"/>
    <w:rsid w:val="009E7032"/>
    <w:rsid w:val="00A40917"/>
    <w:rsid w:val="00A52225"/>
    <w:rsid w:val="00A5433C"/>
    <w:rsid w:val="00A94C88"/>
    <w:rsid w:val="00AA5328"/>
    <w:rsid w:val="00AB0476"/>
    <w:rsid w:val="00AB1817"/>
    <w:rsid w:val="00AC0126"/>
    <w:rsid w:val="00AD006E"/>
    <w:rsid w:val="00B21EE0"/>
    <w:rsid w:val="00B348C9"/>
    <w:rsid w:val="00B536D9"/>
    <w:rsid w:val="00B6036E"/>
    <w:rsid w:val="00B66D2C"/>
    <w:rsid w:val="00B72DC5"/>
    <w:rsid w:val="00B83D79"/>
    <w:rsid w:val="00BD42F6"/>
    <w:rsid w:val="00C019E2"/>
    <w:rsid w:val="00C1380C"/>
    <w:rsid w:val="00C36840"/>
    <w:rsid w:val="00C53A73"/>
    <w:rsid w:val="00C57DBF"/>
    <w:rsid w:val="00C7439B"/>
    <w:rsid w:val="00C93045"/>
    <w:rsid w:val="00C942BE"/>
    <w:rsid w:val="00CB4CA5"/>
    <w:rsid w:val="00CB4CFE"/>
    <w:rsid w:val="00CB6767"/>
    <w:rsid w:val="00CE621D"/>
    <w:rsid w:val="00CF4F75"/>
    <w:rsid w:val="00D1642F"/>
    <w:rsid w:val="00D33A64"/>
    <w:rsid w:val="00D35341"/>
    <w:rsid w:val="00D714F0"/>
    <w:rsid w:val="00D7508F"/>
    <w:rsid w:val="00DB7182"/>
    <w:rsid w:val="00DC1301"/>
    <w:rsid w:val="00DE71AA"/>
    <w:rsid w:val="00DF42C5"/>
    <w:rsid w:val="00E01817"/>
    <w:rsid w:val="00E15A50"/>
    <w:rsid w:val="00E235BE"/>
    <w:rsid w:val="00E314A4"/>
    <w:rsid w:val="00E616F0"/>
    <w:rsid w:val="00E62347"/>
    <w:rsid w:val="00E64330"/>
    <w:rsid w:val="00E67FCC"/>
    <w:rsid w:val="00E82E0F"/>
    <w:rsid w:val="00E871B5"/>
    <w:rsid w:val="00E964CB"/>
    <w:rsid w:val="00ED5DF9"/>
    <w:rsid w:val="00EF1743"/>
    <w:rsid w:val="00F16A10"/>
    <w:rsid w:val="00F41C4C"/>
    <w:rsid w:val="00F56510"/>
    <w:rsid w:val="00F738B9"/>
    <w:rsid w:val="00FA029D"/>
    <w:rsid w:val="00FA1132"/>
    <w:rsid w:val="00FD01FA"/>
    <w:rsid w:val="00FE6C1F"/>
    <w:rsid w:val="01FF58AD"/>
    <w:rsid w:val="07A7375C"/>
    <w:rsid w:val="0C7F7266"/>
    <w:rsid w:val="140D37EA"/>
    <w:rsid w:val="17912F0C"/>
    <w:rsid w:val="1ED47A76"/>
    <w:rsid w:val="1F23417E"/>
    <w:rsid w:val="26BC50DA"/>
    <w:rsid w:val="318D2FEA"/>
    <w:rsid w:val="351340E9"/>
    <w:rsid w:val="39175EE9"/>
    <w:rsid w:val="3AAD67BD"/>
    <w:rsid w:val="3EE76EDE"/>
    <w:rsid w:val="4B5A5F13"/>
    <w:rsid w:val="51B91EF3"/>
    <w:rsid w:val="54C553FD"/>
    <w:rsid w:val="5CAA4FF9"/>
    <w:rsid w:val="5CD425A9"/>
    <w:rsid w:val="5DA4243D"/>
    <w:rsid w:val="60AE5E65"/>
    <w:rsid w:val="6F06301C"/>
    <w:rsid w:val="76B725E4"/>
    <w:rsid w:val="7BEC2F5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8"/>
      <w:szCs w:val="24"/>
      <w:lang w:val="en-US" w:eastAsia="zh-CN" w:bidi="ar-SA"/>
    </w:rPr>
  </w:style>
  <w:style w:type="character" w:default="1" w:styleId="4">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99"/>
    <w:pPr>
      <w:tabs>
        <w:tab w:val="center" w:pos="4153"/>
        <w:tab w:val="right" w:pos="8306"/>
      </w:tabs>
      <w:snapToGrid w:val="0"/>
      <w:jc w:val="left"/>
    </w:pPr>
    <w:rPr>
      <w:sz w:val="18"/>
      <w:szCs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styleId="5">
    <w:name w:val="page number"/>
    <w:basedOn w:val="4"/>
    <w:qFormat/>
    <w:uiPriority w:val="99"/>
    <w:rPr>
      <w:rFonts w:cs="Times New Roman"/>
    </w:rPr>
  </w:style>
  <w:style w:type="character" w:customStyle="1" w:styleId="7">
    <w:name w:val="页脚 Char"/>
    <w:basedOn w:val="4"/>
    <w:link w:val="2"/>
    <w:locked/>
    <w:uiPriority w:val="99"/>
    <w:rPr>
      <w:rFonts w:ascii="Times New Roman" w:hAnsi="Times New Roman" w:eastAsia="宋体" w:cs="Times New Roman"/>
      <w:sz w:val="18"/>
      <w:szCs w:val="18"/>
    </w:rPr>
  </w:style>
  <w:style w:type="character" w:customStyle="1" w:styleId="8">
    <w:name w:val="页眉 Char"/>
    <w:basedOn w:val="4"/>
    <w:link w:val="3"/>
    <w:qFormat/>
    <w:locked/>
    <w:uiPriority w:val="99"/>
    <w:rPr>
      <w:rFonts w:ascii="Times New Roman" w:hAnsi="Times New Roman" w:eastAsia="宋体" w:cs="Times New Roman"/>
      <w:sz w:val="18"/>
      <w:szCs w:val="18"/>
    </w:rPr>
  </w:style>
  <w:style w:type="paragraph" w:customStyle="1" w:styleId="9">
    <w:name w:val="p0"/>
    <w:basedOn w:val="1"/>
    <w:qFormat/>
    <w:uiPriority w:val="99"/>
    <w:pPr>
      <w:widowControl/>
      <w:ind w:firstLine="420"/>
      <w:jc w:val="left"/>
    </w:pPr>
    <w:rPr>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202</Words>
  <Characters>1158</Characters>
  <Lines>9</Lines>
  <Paragraphs>2</Paragraphs>
  <TotalTime>0</TotalTime>
  <ScaleCrop>false</ScaleCrop>
  <LinksUpToDate>false</LinksUpToDate>
  <CharactersWithSpaces>1358</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2018-03-29T10:32:00Z</dcterms:created>
  <dc:creator>Administrator</dc:creator>
  <cp:lastModifiedBy>Administrator</cp:lastModifiedBy>
  <dcterms:modified xsi:type="dcterms:W3CDTF">2018-04-12T07:40:57Z</dcterms:modified>
  <dc:title>2016年</dc:title>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