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霞山区财</w:t>
      </w:r>
      <w:r>
        <w:rPr>
          <w:rFonts w:hint="eastAsia" w:ascii="黑体" w:hAnsi="黑体" w:eastAsia="黑体" w:cs="方正小标宋简体"/>
          <w:sz w:val="84"/>
          <w:szCs w:val="84"/>
          <w:lang w:eastAsia="zh-CN"/>
        </w:rPr>
        <w:t>务</w:t>
      </w:r>
      <w:r>
        <w:rPr>
          <w:rFonts w:hint="eastAsia" w:ascii="黑体" w:hAnsi="黑体" w:eastAsia="黑体" w:cs="方正小标宋简体"/>
          <w:sz w:val="84"/>
          <w:szCs w:val="84"/>
        </w:rPr>
        <w:t>管</w:t>
      </w:r>
      <w:r>
        <w:rPr>
          <w:rFonts w:hint="eastAsia" w:ascii="黑体" w:hAnsi="黑体" w:eastAsia="黑体" w:cs="方正小标宋简体"/>
          <w:sz w:val="84"/>
          <w:szCs w:val="84"/>
          <w:lang w:eastAsia="zh-CN"/>
        </w:rPr>
        <w:t>理</w:t>
      </w:r>
      <w:r>
        <w:rPr>
          <w:rFonts w:hint="eastAsia" w:ascii="黑体" w:hAnsi="黑体" w:eastAsia="黑体" w:cs="方正小标宋简体"/>
          <w:sz w:val="84"/>
          <w:szCs w:val="84"/>
        </w:rPr>
        <w:t>中心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财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务</w:t>
      </w:r>
      <w:r>
        <w:rPr>
          <w:rFonts w:hint="eastAsia" w:ascii="黑体" w:hAnsi="黑体" w:eastAsia="黑体" w:cs="黑体"/>
          <w:sz w:val="32"/>
          <w:szCs w:val="32"/>
        </w:rPr>
        <w:t>管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理</w:t>
      </w:r>
      <w:r>
        <w:rPr>
          <w:rFonts w:hint="eastAsia" w:ascii="黑体" w:hAnsi="黑体" w:eastAsia="黑体" w:cs="黑体"/>
          <w:sz w:val="32"/>
          <w:szCs w:val="32"/>
        </w:rPr>
        <w:t>中心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800" w:firstLineChars="2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财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务</w:t>
      </w:r>
      <w:r>
        <w:rPr>
          <w:rFonts w:hint="eastAsia" w:ascii="黑体" w:hAnsi="黑体" w:eastAsia="黑体" w:cs="黑体"/>
          <w:sz w:val="32"/>
          <w:szCs w:val="32"/>
        </w:rPr>
        <w:t>管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理</w:t>
      </w:r>
      <w:r>
        <w:rPr>
          <w:rFonts w:hint="eastAsia" w:ascii="黑体" w:hAnsi="黑体" w:eastAsia="黑体" w:cs="黑体"/>
          <w:sz w:val="32"/>
          <w:szCs w:val="32"/>
        </w:rPr>
        <w:t>中心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年霞山区财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务</w:t>
      </w:r>
      <w:r>
        <w:rPr>
          <w:rFonts w:hint="eastAsia" w:ascii="黑体" w:hAnsi="黑体" w:eastAsia="黑体"/>
          <w:b/>
          <w:sz w:val="44"/>
          <w:szCs w:val="44"/>
        </w:rPr>
        <w:t>管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理</w:t>
      </w:r>
      <w:r>
        <w:rPr>
          <w:rFonts w:hint="eastAsia" w:ascii="黑体" w:hAnsi="黑体" w:eastAsia="黑体"/>
          <w:b/>
          <w:sz w:val="44"/>
          <w:szCs w:val="44"/>
        </w:rPr>
        <w:t>中心部门预算基本情况说明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288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霞山区财务管理中心负责区各行政、事业单位会计核算和会计监督职能。它的主要任务：一是贯彻执行《中华人民共和国会计法》、《中华人民共和国预算法》和有关法规制度，对统管单位各项财务收支业务进行分户会计核算工作，及时记录、计算和报告单位各种资金的增减变动及其结果，保证会计资料的真实性、完整性。二是参与管理统管单位的财产物资，防止国有资产流失。三是依法监督单位各项资金分配、使用情况，协助单位做好预、决算工作和财务分析、考核等管理工作。四是负责定期编制和提供会计报表，做好单位会计资料和电算化会计档案的整理、归档、保管工作。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本部门无下属单位，部门预算为本级预算。</w:t>
      </w:r>
      <w:r>
        <w:rPr>
          <w:rFonts w:hint="eastAsia"/>
          <w:sz w:val="32"/>
          <w:szCs w:val="32"/>
        </w:rPr>
        <w:t>霞山区财务管理中心内设6个股（2个正股4个副股）级机构：综合股、行政政法股、事业股、出纳股、教育财务管理所、农村财务管理所。霞山区财务管理中心属我区副科级参照公务员法管理的事业单位，事业（参公）编制33人。单位实有在职事业（参公）编制23人，工勤编制4人，共27人，离退休干部9名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500.06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 xml:space="preserve">158.03 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46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2%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。增加的原因的由于工资福利支出和对个人和家庭的补助增加。其中：预算经费安排拨款</w:t>
      </w:r>
      <w:r>
        <w:rPr>
          <w:rFonts w:ascii="黑体" w:hAnsi="黑体" w:eastAsia="黑体" w:cs="仿宋_GB2312"/>
          <w:sz w:val="32"/>
          <w:szCs w:val="32"/>
        </w:rPr>
        <w:t>500.06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500.06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 xml:space="preserve">158.03 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增长46.2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263.89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184.61</w:t>
      </w:r>
      <w:r>
        <w:rPr>
          <w:rFonts w:hint="eastAsia" w:ascii="黑体" w:hAnsi="黑体" w:eastAsia="黑体" w:cs="仿宋_GB2312"/>
          <w:sz w:val="32"/>
          <w:szCs w:val="32"/>
        </w:rPr>
        <w:t>万元，</w:t>
      </w: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对个人和家庭的补助支出</w:t>
      </w:r>
      <w:r>
        <w:rPr>
          <w:rFonts w:ascii="黑体" w:hAnsi="黑体" w:eastAsia="黑体" w:cs="仿宋_GB2312"/>
          <w:sz w:val="32"/>
          <w:szCs w:val="32"/>
        </w:rPr>
        <w:t>57.17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22.11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</w:t>
      </w:r>
      <w:r>
        <w:rPr>
          <w:rFonts w:ascii="黑体" w:hAnsi="黑体" w:eastAsia="黑体" w:cs="仿宋_GB2312"/>
          <w:sz w:val="32"/>
          <w:szCs w:val="32"/>
        </w:rPr>
        <w:t>236.17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其中</w:t>
      </w:r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22.11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10.11</w:t>
      </w:r>
      <w:r>
        <w:rPr>
          <w:rFonts w:hint="eastAsia" w:ascii="黑体" w:hAnsi="黑体" w:eastAsia="黑体" w:cs="仿宋_GB2312"/>
          <w:sz w:val="32"/>
          <w:szCs w:val="32"/>
        </w:rPr>
        <w:t>万元，增加的原因是办公费和其他交通费用（公务交通补贴）增加。其中：办公费</w:t>
      </w:r>
      <w:r>
        <w:rPr>
          <w:rFonts w:ascii="黑体" w:hAnsi="黑体" w:eastAsia="黑体" w:cs="仿宋_GB2312"/>
          <w:sz w:val="32"/>
          <w:szCs w:val="32"/>
        </w:rPr>
        <w:t>9.45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万元，其他交通费用（公务交通补贴）2万元等。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175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24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4225E"/>
    <w:rsid w:val="000B709C"/>
    <w:rsid w:val="000D1AD5"/>
    <w:rsid w:val="00101364"/>
    <w:rsid w:val="00151F0A"/>
    <w:rsid w:val="0019167A"/>
    <w:rsid w:val="001965E8"/>
    <w:rsid w:val="00236A06"/>
    <w:rsid w:val="00280BC7"/>
    <w:rsid w:val="002D3FAD"/>
    <w:rsid w:val="002E6A6D"/>
    <w:rsid w:val="003039DD"/>
    <w:rsid w:val="003164F1"/>
    <w:rsid w:val="003628E8"/>
    <w:rsid w:val="003870F2"/>
    <w:rsid w:val="003D5742"/>
    <w:rsid w:val="00465092"/>
    <w:rsid w:val="0048633A"/>
    <w:rsid w:val="00487F8C"/>
    <w:rsid w:val="004956D7"/>
    <w:rsid w:val="004A75E6"/>
    <w:rsid w:val="004D4EFB"/>
    <w:rsid w:val="005F4CEA"/>
    <w:rsid w:val="005F6A73"/>
    <w:rsid w:val="00615716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37EE3"/>
    <w:rsid w:val="00B66D2C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55E8"/>
    <w:rsid w:val="00ED5DF9"/>
    <w:rsid w:val="00F44CFA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4C33003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235</Words>
  <Characters>1340</Characters>
  <Lines>11</Lines>
  <Paragraphs>3</Paragraphs>
  <TotalTime>0</TotalTime>
  <ScaleCrop>false</ScaleCrop>
  <LinksUpToDate>false</LinksUpToDate>
  <CharactersWithSpaces>1572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2018-04-10T09:19:40Z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