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sz w:val="84"/>
          <w:szCs w:val="84"/>
          <w:lang w:val="en-US" w:eastAsia="zh-CN"/>
        </w:rPr>
      </w:pP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ascii="方正小标宋简体" w:hAnsi="方正小标宋简体" w:eastAsia="方正小标宋简体" w:cs="方正小标宋简体"/>
          <w:sz w:val="84"/>
          <w:szCs w:val="84"/>
        </w:rPr>
        <w:t>2016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年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  <w:lang w:eastAsia="zh-CN"/>
        </w:rPr>
        <w:t>湛江市</w:t>
      </w: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第十二小学</w:t>
      </w:r>
    </w:p>
    <w:p>
      <w:pPr>
        <w:jc w:val="center"/>
        <w:rPr>
          <w:rFonts w:ascii="方正小标宋简体" w:hAnsi="方正小标宋简体" w:eastAsia="方正小标宋简体" w:cs="方正小标宋简体"/>
          <w:sz w:val="84"/>
          <w:szCs w:val="84"/>
        </w:rPr>
      </w:pPr>
      <w:r>
        <w:rPr>
          <w:rFonts w:hint="eastAsia" w:ascii="方正小标宋简体" w:hAnsi="方正小标宋简体" w:eastAsia="方正小标宋简体" w:cs="方正小标宋简体"/>
          <w:sz w:val="84"/>
          <w:szCs w:val="84"/>
        </w:rPr>
        <w:t>部门预算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目</w:t>
      </w:r>
      <w:r>
        <w:rPr>
          <w:rFonts w:ascii="方正小标宋简体" w:hAnsi="方正小标宋简体" w:eastAsia="方正小标宋简体" w:cs="方正小标宋简体"/>
          <w:sz w:val="44"/>
          <w:szCs w:val="44"/>
        </w:rPr>
        <w:t xml:space="preserve"> 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录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第一部分</w:t>
      </w:r>
      <w:r>
        <w:rPr>
          <w:rFonts w:ascii="黑体" w:hAnsi="黑体" w:eastAsia="黑体" w:cs="黑体"/>
          <w:sz w:val="32"/>
          <w:szCs w:val="32"/>
        </w:rPr>
        <w:t xml:space="preserve">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hint="eastAsia" w:ascii="黑体" w:hAnsi="黑体" w:eastAsia="黑体" w:cs="黑体"/>
          <w:sz w:val="32"/>
          <w:szCs w:val="32"/>
          <w:lang w:eastAsia="zh-CN"/>
        </w:rPr>
        <w:t>湛江市</w:t>
      </w:r>
      <w:r>
        <w:rPr>
          <w:rFonts w:hint="eastAsia" w:ascii="黑体" w:hAnsi="黑体" w:eastAsia="黑体" w:cs="黑体"/>
          <w:sz w:val="32"/>
          <w:szCs w:val="32"/>
        </w:rPr>
        <w:t>第十二小学部门预算基本情况说明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部门基本情况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（一）主要职责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（二）机构设置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二、收入预算说明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三、支出预算说明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三公</w:t>
      </w:r>
      <w:r>
        <w:rPr>
          <w:rFonts w:ascii="仿宋_GB2312" w:hAnsi="仿宋_GB2312" w:eastAsia="仿宋_GB2312" w:cs="仿宋_GB2312"/>
          <w:sz w:val="32"/>
          <w:szCs w:val="32"/>
        </w:rPr>
        <w:t>"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经费说明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五、其他需要说明的情况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（一）机关运行经费情况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（二）政府采购安排情况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（三）国有资产占有使用情况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（四）重点项目预算绩效目标设置情况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（五）专业名词解释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/>
        <w:textAlignment w:val="auto"/>
        <w:outlineLvl w:val="9"/>
        <w:rPr>
          <w:rFonts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第二部分</w:t>
      </w:r>
      <w:r>
        <w:rPr>
          <w:rFonts w:ascii="黑体" w:hAnsi="黑体" w:eastAsia="黑体" w:cs="黑体"/>
          <w:sz w:val="32"/>
          <w:szCs w:val="32"/>
        </w:rPr>
        <w:t xml:space="preserve">    2016 </w:t>
      </w:r>
      <w:r>
        <w:rPr>
          <w:rFonts w:hint="eastAsia" w:ascii="黑体" w:hAnsi="黑体" w:eastAsia="黑体" w:cs="黑体"/>
          <w:sz w:val="32"/>
          <w:szCs w:val="32"/>
        </w:rPr>
        <w:t>年</w:t>
      </w:r>
      <w:r>
        <w:rPr>
          <w:rFonts w:ascii="黑体" w:hAnsi="黑体" w:eastAsia="黑体" w:cs="黑体"/>
          <w:sz w:val="32"/>
          <w:szCs w:val="32"/>
        </w:rPr>
        <w:t xml:space="preserve">  </w:t>
      </w:r>
      <w:r>
        <w:rPr>
          <w:rFonts w:hint="eastAsia" w:ascii="黑体" w:hAnsi="黑体" w:eastAsia="黑体" w:cs="黑体"/>
          <w:sz w:val="32"/>
          <w:szCs w:val="32"/>
        </w:rPr>
        <w:t>第十二小学部门预算表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一、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年财政拨款收支总表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二、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三、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年一般公共预算基本支出表（部门经济分类）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四、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年一般公共预算“三公”经费支出表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五、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年政府性基金预算支出表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六、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年部门收支总表</w:t>
      </w:r>
    </w:p>
    <w:p>
      <w:pPr>
        <w:pStyle w:val="9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00" w:lineRule="exact"/>
        <w:ind w:left="0" w:leftChars="0" w:right="0" w:rightChars="0" w:firstLine="64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七、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年部门收入表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line="500" w:lineRule="exact"/>
        <w:ind w:left="0" w:leftChars="0" w:right="0" w:rightChars="0" w:firstLine="640" w:firstLineChars="200"/>
        <w:textAlignment w:val="auto"/>
        <w:outlineLvl w:val="9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八、</w:t>
      </w: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年部门支出表</w:t>
      </w: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</w:p>
    <w:p>
      <w:pPr>
        <w:spacing w:line="360" w:lineRule="auto"/>
        <w:jc w:val="center"/>
        <w:rPr>
          <w:rFonts w:ascii="宋体"/>
          <w:b/>
          <w:sz w:val="44"/>
          <w:szCs w:val="44"/>
        </w:rPr>
      </w:pPr>
      <w:r>
        <w:rPr>
          <w:rFonts w:ascii="宋体" w:hAnsi="宋体"/>
          <w:b/>
          <w:sz w:val="44"/>
          <w:szCs w:val="44"/>
        </w:rPr>
        <w:t>2016</w:t>
      </w:r>
      <w:r>
        <w:rPr>
          <w:rFonts w:hint="eastAsia" w:ascii="宋体" w:hAnsi="宋体"/>
          <w:b/>
          <w:sz w:val="44"/>
          <w:szCs w:val="44"/>
        </w:rPr>
        <w:t>年</w:t>
      </w:r>
      <w:r>
        <w:rPr>
          <w:rFonts w:hint="eastAsia" w:ascii="宋体" w:hAnsi="宋体"/>
          <w:b/>
          <w:sz w:val="44"/>
          <w:szCs w:val="44"/>
          <w:lang w:eastAsia="zh-CN"/>
        </w:rPr>
        <w:t>湛江市</w:t>
      </w:r>
      <w:r>
        <w:rPr>
          <w:rFonts w:hint="eastAsia" w:ascii="宋体" w:hAnsi="宋体"/>
          <w:b/>
          <w:sz w:val="44"/>
          <w:szCs w:val="44"/>
        </w:rPr>
        <w:t>第十二小学</w:t>
      </w:r>
      <w:r>
        <w:rPr>
          <w:rFonts w:hint="eastAsia" w:ascii="宋体" w:hAnsi="宋体"/>
          <w:b/>
          <w:sz w:val="44"/>
          <w:szCs w:val="44"/>
          <w:lang w:eastAsia="zh-CN"/>
        </w:rPr>
        <w:t>部门</w:t>
      </w:r>
      <w:r>
        <w:rPr>
          <w:rFonts w:hint="eastAsia" w:ascii="宋体" w:hAnsi="宋体"/>
          <w:b/>
          <w:sz w:val="44"/>
          <w:szCs w:val="44"/>
        </w:rPr>
        <w:t>预算</w:t>
      </w:r>
      <w:r>
        <w:rPr>
          <w:rFonts w:hint="eastAsia" w:ascii="宋体" w:hAnsi="宋体"/>
          <w:b/>
          <w:sz w:val="44"/>
          <w:szCs w:val="44"/>
          <w:lang w:eastAsia="zh-CN"/>
        </w:rPr>
        <w:t>基本</w:t>
      </w:r>
      <w:r>
        <w:rPr>
          <w:rFonts w:hint="eastAsia" w:ascii="宋体" w:hAnsi="宋体"/>
          <w:b/>
          <w:sz w:val="44"/>
          <w:szCs w:val="44"/>
        </w:rPr>
        <w:t>情况说明</w:t>
      </w:r>
    </w:p>
    <w:p>
      <w:pPr>
        <w:spacing w:line="360" w:lineRule="auto"/>
        <w:jc w:val="center"/>
        <w:rPr>
          <w:rFonts w:ascii="宋体"/>
          <w:b/>
          <w:bCs/>
          <w:sz w:val="36"/>
          <w:szCs w:val="36"/>
        </w:rPr>
      </w:pPr>
    </w:p>
    <w:p>
      <w:pPr>
        <w:spacing w:line="360" w:lineRule="auto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一、部门基本情况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（一）主要职责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、基本职能：湛江市第十二小学是全日制公办小学。主要职能是为国家培养人才，教育入学儿童。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（二）机构设置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本部门无下属单位，部门预算为本级预算。</w:t>
      </w:r>
    </w:p>
    <w:p>
      <w:pPr>
        <w:spacing w:line="500" w:lineRule="exact"/>
        <w:ind w:firstLine="600" w:firstLineChars="200"/>
        <w:outlineLvl w:val="0"/>
        <w:rPr>
          <w:rFonts w:ascii="仿宋_GB2312" w:hAnsi="仿宋_GB2312" w:eastAsia="仿宋_GB2312" w:cs="仿宋_GB2312"/>
          <w:spacing w:val="-1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我校为独立核算单位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个</w:t>
      </w:r>
      <w:r>
        <w:rPr>
          <w:rFonts w:ascii="仿宋_GB2312" w:hAnsi="仿宋_GB2312" w:eastAsia="仿宋_GB2312" w:cs="仿宋_GB2312"/>
          <w:spacing w:val="-10"/>
          <w:sz w:val="32"/>
          <w:szCs w:val="32"/>
        </w:rPr>
        <w:t>,</w:t>
      </w: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设教务处、政教处、总务处、办公室等。</w:t>
      </w:r>
    </w:p>
    <w:p>
      <w:pPr>
        <w:spacing w:line="500" w:lineRule="exact"/>
        <w:ind w:firstLine="643" w:firstLineChars="200"/>
        <w:outlineLvl w:val="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二、收入预算说明</w:t>
      </w:r>
    </w:p>
    <w:p>
      <w:pPr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年预算收入</w:t>
      </w:r>
      <w:r>
        <w:rPr>
          <w:rFonts w:ascii="仿宋_GB2312" w:hAnsi="仿宋_GB2312" w:eastAsia="仿宋_GB2312" w:cs="仿宋_GB2312"/>
          <w:sz w:val="32"/>
          <w:szCs w:val="32"/>
        </w:rPr>
        <w:t>1634.13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349.61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万元。增加%27.21，支出增加的原因的由于工资福利支出和对个人和家庭的补助增加。其中：预算经费安排拨款</w:t>
      </w:r>
      <w:r>
        <w:rPr>
          <w:rFonts w:ascii="仿宋_GB2312" w:hAnsi="仿宋_GB2312" w:eastAsia="仿宋_GB2312" w:cs="仿宋_GB2312"/>
          <w:sz w:val="32"/>
          <w:szCs w:val="32"/>
        </w:rPr>
        <w:t>1634.13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万元，其他非税收入安排拨款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三、支出预算说明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2016</w:t>
      </w:r>
      <w:r>
        <w:rPr>
          <w:rFonts w:hint="eastAsia" w:ascii="仿宋_GB2312" w:hAnsi="仿宋_GB2312" w:eastAsia="仿宋_GB2312" w:cs="仿宋_GB2312"/>
          <w:sz w:val="32"/>
          <w:szCs w:val="32"/>
        </w:rPr>
        <w:t>年支出预算</w:t>
      </w:r>
      <w:r>
        <w:rPr>
          <w:rFonts w:ascii="仿宋_GB2312" w:hAnsi="仿宋_GB2312" w:eastAsia="仿宋_GB2312" w:cs="仿宋_GB2312"/>
          <w:sz w:val="32"/>
          <w:szCs w:val="32"/>
        </w:rPr>
        <w:t>1634.13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万元，同比增加</w:t>
      </w:r>
      <w:r>
        <w:rPr>
          <w:rFonts w:ascii="仿宋_GB2312" w:hAnsi="仿宋_GB2312" w:eastAsia="仿宋_GB2312" w:cs="仿宋_GB2312"/>
          <w:sz w:val="32"/>
          <w:szCs w:val="32"/>
        </w:rPr>
        <w:t>349.61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万元。增加%27.21，增加的原因是由于工资福利支出和对个人和家庭的补助增加。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支出按经济分类划分：</w:t>
      </w: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、基本支出预算</w:t>
      </w:r>
      <w:r>
        <w:rPr>
          <w:rFonts w:ascii="仿宋_GB2312" w:hAnsi="仿宋_GB2312" w:eastAsia="仿宋_GB2312" w:cs="仿宋_GB2312"/>
          <w:sz w:val="32"/>
          <w:szCs w:val="32"/>
        </w:rPr>
        <w:t>1,573.34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万元，其中：工资福利支出</w:t>
      </w:r>
      <w:r>
        <w:rPr>
          <w:rFonts w:ascii="仿宋_GB2312" w:hAnsi="仿宋_GB2312" w:eastAsia="仿宋_GB2312" w:cs="仿宋_GB2312"/>
          <w:sz w:val="32"/>
          <w:szCs w:val="32"/>
        </w:rPr>
        <w:t>902.07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万元，一般商品和服务支出</w:t>
      </w:r>
      <w:r>
        <w:rPr>
          <w:rFonts w:ascii="仿宋_GB2312" w:hAnsi="仿宋_GB2312" w:eastAsia="仿宋_GB2312" w:cs="仿宋_GB2312"/>
          <w:sz w:val="32"/>
          <w:szCs w:val="32"/>
        </w:rPr>
        <w:t>281.18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、项目支出预算</w:t>
      </w:r>
      <w:r>
        <w:rPr>
          <w:rFonts w:ascii="仿宋_GB2312" w:hAnsi="仿宋_GB2312" w:eastAsia="仿宋_GB2312" w:cs="仿宋_GB2312"/>
          <w:sz w:val="32"/>
          <w:szCs w:val="32"/>
        </w:rPr>
        <w:t>60.79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四、“三公经费”说明</w:t>
      </w:r>
    </w:p>
    <w:p>
      <w:pPr>
        <w:ind w:firstLine="600" w:firstLineChars="200"/>
        <w:rPr>
          <w:rFonts w:ascii="宋体" w:hAnsi="宋体"/>
          <w:sz w:val="32"/>
          <w:szCs w:val="32"/>
        </w:rPr>
      </w:pPr>
      <w:r>
        <w:rPr>
          <w:rFonts w:hint="eastAsia" w:ascii="仿宋_GB2312" w:hAnsi="宋体" w:eastAsia="仿宋_GB2312"/>
          <w:sz w:val="30"/>
          <w:szCs w:val="30"/>
        </w:rPr>
        <w:t>2016</w:t>
      </w:r>
      <w:r>
        <w:rPr>
          <w:rFonts w:hint="eastAsia" w:ascii="仿宋_GB2312" w:hAnsi="Calibri" w:eastAsia="仿宋_GB2312"/>
          <w:sz w:val="30"/>
          <w:szCs w:val="30"/>
        </w:rPr>
        <w:t>年“三公经费”预算安排共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,其中</w:t>
      </w:r>
      <w:r>
        <w:rPr>
          <w:rFonts w:hint="eastAsia" w:ascii="仿宋_GB2312" w:hAnsi="Calibri" w:eastAsia="仿宋_GB2312"/>
          <w:sz w:val="30"/>
          <w:szCs w:val="30"/>
        </w:rPr>
        <w:t>：因公出国（境）费预算安排0万元，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。公务用车购置及运行维护费预算安排 0万元，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仿宋_GB2312" w:hAnsi="Calibri" w:eastAsia="仿宋_GB2312"/>
          <w:sz w:val="30"/>
          <w:szCs w:val="30"/>
        </w:rPr>
        <w:t>。公务接待费预算安排0万元</w:t>
      </w:r>
      <w:r>
        <w:rPr>
          <w:rFonts w:hint="eastAsia" w:ascii="仿宋_GB2312" w:hAnsi="Calibri" w:eastAsia="仿宋_GB2312"/>
          <w:sz w:val="30"/>
          <w:szCs w:val="30"/>
          <w:lang w:val="en-US" w:eastAsia="zh-CN"/>
        </w:rPr>
        <w:t>,</w:t>
      </w:r>
      <w:r>
        <w:rPr>
          <w:rFonts w:hint="eastAsia" w:ascii="仿宋_GB2312" w:hAnsi="Calibri" w:eastAsia="仿宋_GB2312"/>
          <w:sz w:val="30"/>
          <w:szCs w:val="30"/>
          <w:lang w:eastAsia="zh-CN"/>
        </w:rPr>
        <w:t>与上年持平</w:t>
      </w:r>
      <w:r>
        <w:rPr>
          <w:rFonts w:hint="eastAsia" w:ascii="宋体" w:hAnsi="宋体"/>
          <w:sz w:val="32"/>
          <w:szCs w:val="32"/>
        </w:rPr>
        <w:t>。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五、其他需要说明的情况</w:t>
      </w:r>
    </w:p>
    <w:p>
      <w:pPr>
        <w:spacing w:line="500" w:lineRule="exact"/>
        <w:ind w:firstLine="643" w:firstLineChars="200"/>
        <w:rPr>
          <w:rFonts w:ascii="仿宋_GB2312" w:hAnsi="仿宋_GB2312" w:eastAsia="仿宋_GB2312" w:cs="仿宋_GB2312"/>
          <w:b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（一）关于“机关运行经费”支出的说明</w:t>
      </w:r>
    </w:p>
    <w:p>
      <w:pPr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本部门为事业单位，无“机关运行经费”。</w:t>
      </w:r>
    </w:p>
    <w:p>
      <w:pPr>
        <w:ind w:firstLine="600" w:firstLineChars="200"/>
        <w:rPr>
          <w:rFonts w:ascii="仿宋_GB2312" w:hAnsi="仿宋_GB2312" w:eastAsia="仿宋_GB2312" w:cs="仿宋_GB2312"/>
          <w:b/>
          <w:sz w:val="32"/>
          <w:szCs w:val="32"/>
        </w:rPr>
      </w:pPr>
      <w:bookmarkStart w:id="0" w:name="_GoBack"/>
      <w:bookmarkEnd w:id="0"/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（二）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>关于政府采购支出说明：</w:t>
      </w:r>
    </w:p>
    <w:p>
      <w:pPr>
        <w:spacing w:line="50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政府采购安排为零。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国有资产占有使用情况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：截至</w:t>
      </w:r>
      <w:r>
        <w:rPr>
          <w:rFonts w:ascii="仿宋_GB2312" w:hAnsi="仿宋_GB2312" w:eastAsia="仿宋_GB2312" w:cs="仿宋_GB2312"/>
          <w:sz w:val="32"/>
          <w:szCs w:val="32"/>
        </w:rPr>
        <w:t>2015</w:t>
      </w:r>
      <w:r>
        <w:rPr>
          <w:rFonts w:hint="eastAsia" w:ascii="仿宋_GB2312" w:hAnsi="仿宋_GB2312" w:eastAsia="仿宋_GB2312" w:cs="仿宋_GB2312"/>
          <w:sz w:val="32"/>
          <w:szCs w:val="32"/>
        </w:rPr>
        <w:t>年</w:t>
      </w:r>
      <w:r>
        <w:rPr>
          <w:rFonts w:ascii="仿宋_GB2312" w:hAnsi="仿宋_GB2312" w:eastAsia="仿宋_GB2312" w:cs="仿宋_GB2312"/>
          <w:sz w:val="32"/>
          <w:szCs w:val="32"/>
        </w:rPr>
        <w:t>12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>31</w:t>
      </w:r>
      <w:r>
        <w:rPr>
          <w:rFonts w:hint="eastAsia" w:ascii="仿宋_GB2312" w:hAnsi="仿宋_GB2312" w:eastAsia="仿宋_GB2312" w:cs="仿宋_GB2312"/>
          <w:sz w:val="32"/>
          <w:szCs w:val="32"/>
        </w:rPr>
        <w:t>日，</w:t>
      </w:r>
    </w:p>
    <w:p>
      <w:pPr>
        <w:spacing w:line="580" w:lineRule="exact"/>
        <w:ind w:firstLine="602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本部门国有资产总额为2045.10万元。本部门共有车辆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辆，全部均为一般公务用车，由于公务用车改革，使用管理权均为区机关事务局所有；单位价值20万元以上大型设备</w:t>
      </w:r>
      <w:r>
        <w:rPr>
          <w:rFonts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</w:rPr>
        <w:t>台（套）。</w:t>
      </w:r>
    </w:p>
    <w:p>
      <w:pPr>
        <w:spacing w:line="500" w:lineRule="exact"/>
        <w:ind w:firstLine="60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（四）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重点项目预算绩效目标设置情况</w:t>
      </w:r>
      <w:r>
        <w:rPr>
          <w:rFonts w:hint="eastAsia" w:ascii="仿宋_GB2312" w:hAnsi="仿宋_GB2312" w:eastAsia="仿宋_GB2312" w:cs="仿宋_GB2312"/>
          <w:sz w:val="32"/>
          <w:szCs w:val="32"/>
        </w:rPr>
        <w:t>：无</w:t>
      </w:r>
    </w:p>
    <w:p>
      <w:pPr>
        <w:widowControl/>
        <w:shd w:val="clear" w:color="auto" w:fill="FFFFFF"/>
        <w:spacing w:line="500" w:lineRule="atLeast"/>
        <w:ind w:firstLine="630"/>
        <w:rPr>
          <w:rFonts w:ascii="仿宋_GB2312" w:hAns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10"/>
          <w:sz w:val="32"/>
          <w:szCs w:val="32"/>
        </w:rPr>
        <w:t>（五）</w:t>
      </w:r>
      <w:r>
        <w:rPr>
          <w:rFonts w:hint="eastAsia" w:ascii="仿宋_GB2312" w:hAnsi="仿宋_GB2312" w:eastAsia="仿宋_GB2312" w:cs="仿宋_GB2312"/>
          <w:b/>
          <w:bCs/>
          <w:color w:val="000000"/>
          <w:kern w:val="0"/>
          <w:sz w:val="32"/>
          <w:szCs w:val="32"/>
          <w:shd w:val="clear" w:color="auto" w:fill="FFFFFF"/>
        </w:rPr>
        <w:t>专业性较强的名词解释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color w:val="000000"/>
          <w:kern w:val="0"/>
          <w:sz w:val="32"/>
          <w:szCs w:val="32"/>
          <w:shd w:val="clear" w:color="auto" w:fill="FFFFFF"/>
        </w:rPr>
        <w:t>无。</w:t>
      </w:r>
    </w:p>
    <w:p>
      <w:pPr>
        <w:spacing w:line="500" w:lineRule="exact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footerReference r:id="rId4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B0DB23"/>
    <w:multiLevelType w:val="singleLevel"/>
    <w:tmpl w:val="5AB0DB23"/>
    <w:lvl w:ilvl="0" w:tentative="0">
      <w:start w:val="1"/>
      <w:numFmt w:val="chineseCounting"/>
      <w:suff w:val="nothing"/>
      <w:lvlText w:val="%1、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NotTrackMoves/>
  <w:documentProtection w:enforcement="0"/>
  <w:defaultTabStop w:val="420"/>
  <w:drawingGridVerticalSpacing w:val="156"/>
  <w:noPunctuationKerning w:val="1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714F0"/>
    <w:rsid w:val="000365A0"/>
    <w:rsid w:val="00041B48"/>
    <w:rsid w:val="000D1AD5"/>
    <w:rsid w:val="00101364"/>
    <w:rsid w:val="00111D57"/>
    <w:rsid w:val="0019167A"/>
    <w:rsid w:val="001F0F54"/>
    <w:rsid w:val="00236A06"/>
    <w:rsid w:val="00266742"/>
    <w:rsid w:val="00280BC7"/>
    <w:rsid w:val="0028591B"/>
    <w:rsid w:val="002E6A6D"/>
    <w:rsid w:val="003039DD"/>
    <w:rsid w:val="003164F1"/>
    <w:rsid w:val="00351DA6"/>
    <w:rsid w:val="00354F92"/>
    <w:rsid w:val="00360035"/>
    <w:rsid w:val="003D5742"/>
    <w:rsid w:val="003E5168"/>
    <w:rsid w:val="0048633A"/>
    <w:rsid w:val="004956D7"/>
    <w:rsid w:val="004D4EFB"/>
    <w:rsid w:val="004D7796"/>
    <w:rsid w:val="004E3B1F"/>
    <w:rsid w:val="00540747"/>
    <w:rsid w:val="005F4CEA"/>
    <w:rsid w:val="0065390B"/>
    <w:rsid w:val="00691C5E"/>
    <w:rsid w:val="006974DC"/>
    <w:rsid w:val="006C2A44"/>
    <w:rsid w:val="00704AA5"/>
    <w:rsid w:val="00741CE3"/>
    <w:rsid w:val="00753CB4"/>
    <w:rsid w:val="0076087A"/>
    <w:rsid w:val="00764845"/>
    <w:rsid w:val="007C0EDA"/>
    <w:rsid w:val="007C3F3F"/>
    <w:rsid w:val="007E2506"/>
    <w:rsid w:val="00805EA0"/>
    <w:rsid w:val="00835A16"/>
    <w:rsid w:val="00863ECF"/>
    <w:rsid w:val="00895A57"/>
    <w:rsid w:val="008A0BA9"/>
    <w:rsid w:val="00915D64"/>
    <w:rsid w:val="00916055"/>
    <w:rsid w:val="00931F2D"/>
    <w:rsid w:val="00941B91"/>
    <w:rsid w:val="009750A6"/>
    <w:rsid w:val="009914C4"/>
    <w:rsid w:val="009A74C9"/>
    <w:rsid w:val="009D02BF"/>
    <w:rsid w:val="00A52225"/>
    <w:rsid w:val="00A5433C"/>
    <w:rsid w:val="00A94C88"/>
    <w:rsid w:val="00AB0476"/>
    <w:rsid w:val="00AB1817"/>
    <w:rsid w:val="00B278BC"/>
    <w:rsid w:val="00B348C9"/>
    <w:rsid w:val="00B66D2C"/>
    <w:rsid w:val="00C019E2"/>
    <w:rsid w:val="00C1380C"/>
    <w:rsid w:val="00C36840"/>
    <w:rsid w:val="00C7439B"/>
    <w:rsid w:val="00C93045"/>
    <w:rsid w:val="00C942BE"/>
    <w:rsid w:val="00CB4CA5"/>
    <w:rsid w:val="00CB6767"/>
    <w:rsid w:val="00CF4F75"/>
    <w:rsid w:val="00D33A64"/>
    <w:rsid w:val="00D714F0"/>
    <w:rsid w:val="00DC1301"/>
    <w:rsid w:val="00E01817"/>
    <w:rsid w:val="00E15A50"/>
    <w:rsid w:val="00E235BE"/>
    <w:rsid w:val="00E238D0"/>
    <w:rsid w:val="00E616F0"/>
    <w:rsid w:val="00E67FCC"/>
    <w:rsid w:val="00E871B5"/>
    <w:rsid w:val="00ED5DF9"/>
    <w:rsid w:val="00F56510"/>
    <w:rsid w:val="00FA029D"/>
    <w:rsid w:val="00FA1132"/>
    <w:rsid w:val="00FD01FA"/>
    <w:rsid w:val="01FF58AD"/>
    <w:rsid w:val="07A7375C"/>
    <w:rsid w:val="0C7F7266"/>
    <w:rsid w:val="140D37EA"/>
    <w:rsid w:val="17912F0C"/>
    <w:rsid w:val="1ED47A76"/>
    <w:rsid w:val="1F23417E"/>
    <w:rsid w:val="255C2B11"/>
    <w:rsid w:val="26BC50DA"/>
    <w:rsid w:val="318D2FEA"/>
    <w:rsid w:val="351340E9"/>
    <w:rsid w:val="39175EE9"/>
    <w:rsid w:val="3AAD67BD"/>
    <w:rsid w:val="3EE76EDE"/>
    <w:rsid w:val="4B5A5F13"/>
    <w:rsid w:val="51B91EF3"/>
    <w:rsid w:val="54C553FD"/>
    <w:rsid w:val="5CAA4FF9"/>
    <w:rsid w:val="5CD425A9"/>
    <w:rsid w:val="60AE5E65"/>
    <w:rsid w:val="6F06301C"/>
    <w:rsid w:val="76B725E4"/>
    <w:rsid w:val="7BEC2F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99" w:name="Normal Indent"/>
    <w:lsdException w:uiPriority="99" w:name="footnote text"/>
    <w:lsdException w:uiPriority="99" w:name="annotation text"/>
    <w:lsdException w:unhideWhenUsed="0" w:uiPriority="99" w:semiHidden="0" w:name="header"/>
    <w:lsdException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 w:locked="1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8"/>
      <w:szCs w:val="24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  <w:style w:type="character" w:customStyle="1" w:styleId="7">
    <w:name w:val="页脚 Char"/>
    <w:basedOn w:val="4"/>
    <w:link w:val="2"/>
    <w:locked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8">
    <w:name w:val="页眉 Char"/>
    <w:basedOn w:val="4"/>
    <w:link w:val="3"/>
    <w:qFormat/>
    <w:locked/>
    <w:uiPriority w:val="99"/>
    <w:rPr>
      <w:rFonts w:ascii="Times New Roman" w:hAnsi="Times New Roman" w:eastAsia="宋体" w:cs="Times New Roman"/>
      <w:sz w:val="18"/>
      <w:szCs w:val="18"/>
    </w:rPr>
  </w:style>
  <w:style w:type="paragraph" w:customStyle="1" w:styleId="9">
    <w:name w:val="p0"/>
    <w:basedOn w:val="1"/>
    <w:qFormat/>
    <w:uiPriority w:val="99"/>
    <w:pPr>
      <w:widowControl/>
      <w:ind w:firstLine="420"/>
      <w:jc w:val="left"/>
    </w:pPr>
    <w:rPr>
      <w:kern w:val="0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202</Words>
  <Characters>1156</Characters>
  <Lines>9</Lines>
  <Paragraphs>2</Paragraphs>
  <TotalTime>0</TotalTime>
  <ScaleCrop>false</ScaleCrop>
  <LinksUpToDate>false</LinksUpToDate>
  <CharactersWithSpaces>1356</CharactersWithSpaces>
  <Application>WPS Office_10.1.0.7224_F1E327BC-269C-435d-A152-05C5408002CA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2018-03-29T10:32:00Z</dcterms:created>
  <dc:creator>Administrator</dc:creator>
  <cp:lastModifiedBy>Administrator</cp:lastModifiedBy>
  <dcterms:modified xsi:type="dcterms:W3CDTF">2018-04-12T07:31:10Z</dcterms:modified>
  <dc:title>2016年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