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  <w:r>
        <w:rPr>
          <w:rFonts w:ascii="方正小标宋简体" w:hAnsi="方正小标宋简体" w:eastAsia="方正小标宋简体" w:cs="方正小标宋简体"/>
          <w:sz w:val="84"/>
          <w:szCs w:val="84"/>
        </w:rPr>
        <w:t>2016</w:t>
      </w:r>
      <w:r>
        <w:rPr>
          <w:rFonts w:hint="eastAsia" w:ascii="方正小标宋简体" w:hAnsi="方正小标宋简体" w:eastAsia="方正小标宋简体" w:cs="方正小标宋简体"/>
          <w:sz w:val="84"/>
          <w:szCs w:val="84"/>
        </w:rPr>
        <w:t>年</w:t>
      </w: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  <w:r>
        <w:rPr>
          <w:rFonts w:hint="eastAsia" w:ascii="方正小标宋简体" w:hAnsi="方正小标宋简体" w:eastAsia="方正小标宋简体" w:cs="方正小标宋简体"/>
          <w:sz w:val="84"/>
          <w:szCs w:val="84"/>
        </w:rPr>
        <w:t>湛江市儿童公园部门预算</w:t>
      </w: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目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第一部分</w:t>
      </w:r>
      <w:r>
        <w:rPr>
          <w:rFonts w:ascii="黑体" w:hAnsi="黑体" w:eastAsia="黑体" w:cs="黑体"/>
          <w:sz w:val="32"/>
          <w:szCs w:val="32"/>
        </w:rPr>
        <w:t xml:space="preserve">   2016 </w:t>
      </w:r>
      <w:r>
        <w:rPr>
          <w:rFonts w:hint="eastAsia" w:ascii="黑体" w:hAnsi="黑体" w:eastAsia="黑体" w:cs="黑体"/>
          <w:sz w:val="32"/>
          <w:szCs w:val="32"/>
        </w:rPr>
        <w:t>年</w:t>
      </w:r>
      <w:r>
        <w:rPr>
          <w:rFonts w:ascii="黑体" w:hAnsi="黑体" w:eastAsia="黑体" w:cs="黑体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</w:rPr>
        <w:t>湛江市儿童公园</w:t>
      </w:r>
      <w:r>
        <w:rPr>
          <w:rFonts w:ascii="黑体" w:hAnsi="黑体" w:eastAsia="黑体" w:cs="黑体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</w:rPr>
        <w:t>部门预算基本情况说明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部门基本情况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（一）主要职责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（二）机构设置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二、收入预算说明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三、支出预算说明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</w:t>
      </w:r>
      <w:r>
        <w:rPr>
          <w:rFonts w:ascii="仿宋_GB2312" w:hAnsi="仿宋_GB2312" w:eastAsia="仿宋_GB2312" w:cs="仿宋_GB2312"/>
          <w:sz w:val="32"/>
          <w:szCs w:val="32"/>
        </w:rPr>
        <w:t>"</w:t>
      </w:r>
      <w:r>
        <w:rPr>
          <w:rFonts w:hint="eastAsia" w:ascii="仿宋_GB2312" w:hAnsi="仿宋_GB2312" w:eastAsia="仿宋_GB2312" w:cs="仿宋_GB2312"/>
          <w:sz w:val="32"/>
          <w:szCs w:val="32"/>
        </w:rPr>
        <w:t>三公</w:t>
      </w:r>
      <w:r>
        <w:rPr>
          <w:rFonts w:ascii="仿宋_GB2312" w:hAnsi="仿宋_GB2312" w:eastAsia="仿宋_GB2312" w:cs="仿宋_GB2312"/>
          <w:sz w:val="32"/>
          <w:szCs w:val="32"/>
        </w:rPr>
        <w:t>"</w:t>
      </w:r>
      <w:r>
        <w:rPr>
          <w:rFonts w:hint="eastAsia" w:ascii="仿宋_GB2312" w:hAnsi="仿宋_GB2312" w:eastAsia="仿宋_GB2312" w:cs="仿宋_GB2312"/>
          <w:sz w:val="32"/>
          <w:szCs w:val="32"/>
        </w:rPr>
        <w:t>经费说明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560" w:leftChars="20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五、其他需要说明的情况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560" w:leftChars="20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（一）机关运行经费情况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560" w:leftChars="20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（二）政府采购安排情况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560" w:leftChars="20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（三）国有资产占有使用情况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560" w:leftChars="20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（四）重点项目预算绩效目标设置情况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560" w:leftChars="20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（五）专业名词解释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第二部分</w:t>
      </w:r>
      <w:r>
        <w:rPr>
          <w:rFonts w:ascii="黑体" w:hAnsi="黑体" w:eastAsia="黑体" w:cs="黑体"/>
          <w:sz w:val="32"/>
          <w:szCs w:val="32"/>
        </w:rPr>
        <w:t xml:space="preserve">    2016 </w:t>
      </w:r>
      <w:r>
        <w:rPr>
          <w:rFonts w:hint="eastAsia" w:ascii="黑体" w:hAnsi="黑体" w:eastAsia="黑体" w:cs="黑体"/>
          <w:sz w:val="32"/>
          <w:szCs w:val="32"/>
        </w:rPr>
        <w:t>年</w:t>
      </w:r>
      <w:r>
        <w:rPr>
          <w:rFonts w:ascii="黑体" w:hAnsi="黑体" w:eastAsia="黑体" w:cs="黑体"/>
          <w:sz w:val="32"/>
          <w:szCs w:val="32"/>
        </w:rPr>
        <w:t xml:space="preserve">  </w:t>
      </w:r>
      <w:r>
        <w:rPr>
          <w:rFonts w:hint="eastAsia" w:ascii="黑体" w:hAnsi="黑体" w:eastAsia="黑体" w:cs="黑体"/>
          <w:sz w:val="32"/>
          <w:szCs w:val="32"/>
        </w:rPr>
        <w:t>湛江市儿童公园</w:t>
      </w:r>
      <w:r>
        <w:rPr>
          <w:rFonts w:ascii="黑体" w:hAnsi="黑体" w:eastAsia="黑体" w:cs="黑体"/>
          <w:sz w:val="32"/>
          <w:szCs w:val="32"/>
        </w:rPr>
        <w:t xml:space="preserve">  </w:t>
      </w:r>
      <w:r>
        <w:rPr>
          <w:rFonts w:hint="eastAsia" w:ascii="黑体" w:hAnsi="黑体" w:eastAsia="黑体" w:cs="黑体"/>
          <w:sz w:val="32"/>
          <w:szCs w:val="32"/>
        </w:rPr>
        <w:t>部门预算表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年财政拨款收支总表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年一般公共预算支出表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年一般公共预算基本支出表（部门经济分类）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年一般公共预算“三公”经费支出表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年政府性基金预算支出表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六、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年部门收支总表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七、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年部门收入表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八、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年部门支出表</w:t>
      </w:r>
    </w:p>
    <w:p>
      <w:pPr>
        <w:spacing w:line="360" w:lineRule="auto"/>
        <w:jc w:val="center"/>
        <w:rPr>
          <w:rFonts w:hint="eastAsia"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  <w:r>
        <w:rPr>
          <w:rFonts w:ascii="宋体" w:hAnsi="宋体"/>
          <w:b/>
          <w:sz w:val="44"/>
          <w:szCs w:val="44"/>
        </w:rPr>
        <w:t>2016</w:t>
      </w:r>
      <w:r>
        <w:rPr>
          <w:rFonts w:hint="eastAsia" w:ascii="宋体" w:hAnsi="宋体"/>
          <w:b/>
          <w:sz w:val="44"/>
          <w:szCs w:val="44"/>
        </w:rPr>
        <w:t>年霞山区湛江市儿童公园</w:t>
      </w:r>
      <w:r>
        <w:rPr>
          <w:rFonts w:hint="eastAsia" w:ascii="宋体" w:hAnsi="宋体"/>
          <w:b/>
          <w:sz w:val="44"/>
          <w:szCs w:val="44"/>
          <w:lang w:eastAsia="zh-CN"/>
        </w:rPr>
        <w:t>部门</w:t>
      </w:r>
      <w:r>
        <w:rPr>
          <w:rFonts w:hint="eastAsia" w:ascii="宋体" w:hAnsi="宋体"/>
          <w:b/>
          <w:sz w:val="44"/>
          <w:szCs w:val="44"/>
        </w:rPr>
        <w:t>预算</w:t>
      </w:r>
      <w:r>
        <w:rPr>
          <w:rFonts w:hint="eastAsia" w:ascii="宋体" w:hAnsi="宋体"/>
          <w:b/>
          <w:sz w:val="44"/>
          <w:szCs w:val="44"/>
          <w:lang w:eastAsia="zh-CN"/>
        </w:rPr>
        <w:t>基本</w:t>
      </w:r>
      <w:r>
        <w:rPr>
          <w:rFonts w:hint="eastAsia" w:ascii="宋体" w:hAnsi="宋体"/>
          <w:b/>
          <w:sz w:val="44"/>
          <w:szCs w:val="44"/>
        </w:rPr>
        <w:t>情况说明</w:t>
      </w:r>
    </w:p>
    <w:p>
      <w:pPr>
        <w:spacing w:line="360" w:lineRule="auto"/>
        <w:jc w:val="center"/>
        <w:rPr>
          <w:rFonts w:ascii="宋体"/>
          <w:b/>
          <w:bCs/>
          <w:sz w:val="36"/>
          <w:szCs w:val="36"/>
        </w:rPr>
      </w:pPr>
    </w:p>
    <w:p>
      <w:pPr>
        <w:spacing w:line="360" w:lineRule="auto"/>
        <w:ind w:firstLine="643" w:firstLineChars="200"/>
        <w:outlineLvl w:val="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一、部门基本情况</w:t>
      </w:r>
    </w:p>
    <w:p>
      <w:pPr>
        <w:spacing w:line="288" w:lineRule="auto"/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（一）主要职责</w:t>
      </w:r>
    </w:p>
    <w:p>
      <w:pPr>
        <w:spacing w:line="288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湛江市儿童公园为副科级事业单位编制，分办公室、维修班、游乐项目、绿化维护及动物饲养班四个部门进行运作，主要负责管辖范围的社会公益服务和园林绿化工作。 </w:t>
      </w:r>
    </w:p>
    <w:p>
      <w:pPr>
        <w:spacing w:line="440" w:lineRule="exact"/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（二）机构设置</w:t>
      </w:r>
    </w:p>
    <w:p>
      <w:pPr>
        <w:spacing w:line="440" w:lineRule="exact"/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本部门无下属单位，部门预算为本级预算。</w:t>
      </w:r>
    </w:p>
    <w:p>
      <w:pPr>
        <w:spacing w:line="440" w:lineRule="exact"/>
        <w:ind w:firstLine="640" w:firstLineChars="200"/>
        <w:rPr>
          <w:rFonts w:ascii="宋体"/>
          <w:szCs w:val="28"/>
        </w:rPr>
      </w:pPr>
      <w:r>
        <w:rPr>
          <w:rFonts w:hint="eastAsia" w:ascii="仿宋_GB2312" w:eastAsia="仿宋_GB2312"/>
          <w:sz w:val="32"/>
          <w:szCs w:val="32"/>
        </w:rPr>
        <w:t>湛江市儿童公园编制人数为36人。至2015年12月31日止，在编在岗人员26人，退休人员41人。</w:t>
      </w:r>
    </w:p>
    <w:p>
      <w:pPr>
        <w:spacing w:line="500" w:lineRule="exact"/>
        <w:ind w:firstLine="643" w:firstLineChars="200"/>
        <w:outlineLvl w:val="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二、收入预算说明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年收入预算</w:t>
      </w:r>
      <w:r>
        <w:rPr>
          <w:rFonts w:ascii="仿宋_GB2312" w:hAnsi="仿宋_GB2312" w:eastAsia="仿宋_GB2312" w:cs="仿宋_GB2312"/>
          <w:sz w:val="32"/>
          <w:szCs w:val="32"/>
        </w:rPr>
        <w:t>328.14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万元，同比增加</w:t>
      </w:r>
      <w:r>
        <w:rPr>
          <w:rFonts w:ascii="仿宋_GB2312" w:hAnsi="仿宋_GB2312" w:eastAsia="仿宋_GB2312" w:cs="仿宋_GB2312"/>
          <w:sz w:val="32"/>
          <w:szCs w:val="32"/>
        </w:rPr>
        <w:t>23.54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万元。增长7%,支出增加的原因的由于工资福利支出和对个人和家庭的补助增加。其中：预算经费安排拨款</w:t>
      </w:r>
      <w:r>
        <w:rPr>
          <w:rFonts w:ascii="仿宋_GB2312" w:hAnsi="仿宋_GB2312" w:eastAsia="仿宋_GB2312" w:cs="仿宋_GB2312"/>
          <w:sz w:val="32"/>
          <w:szCs w:val="32"/>
        </w:rPr>
        <w:t>328.14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万元，其他非税收入安排拨款</w:t>
      </w:r>
      <w:r>
        <w:rPr>
          <w:rFonts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三、支出预算说明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年支出预算</w:t>
      </w:r>
      <w:r>
        <w:rPr>
          <w:rFonts w:ascii="仿宋_GB2312" w:hAnsi="仿宋_GB2312" w:eastAsia="仿宋_GB2312" w:cs="仿宋_GB2312"/>
          <w:sz w:val="32"/>
          <w:szCs w:val="32"/>
        </w:rPr>
        <w:t>328.14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万元，同比增加</w:t>
      </w:r>
      <w:r>
        <w:rPr>
          <w:rFonts w:ascii="仿宋_GB2312" w:hAnsi="仿宋_GB2312" w:eastAsia="仿宋_GB2312" w:cs="仿宋_GB2312"/>
          <w:sz w:val="32"/>
          <w:szCs w:val="32"/>
        </w:rPr>
        <w:t>23.54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万元。增长7%,支出按经济分类划分：</w:t>
      </w:r>
      <w:r>
        <w:rPr>
          <w:rFonts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、基本支出预算</w:t>
      </w:r>
      <w:r>
        <w:rPr>
          <w:rFonts w:ascii="仿宋_GB2312" w:hAnsi="仿宋_GB2312" w:eastAsia="仿宋_GB2312" w:cs="仿宋_GB2312"/>
          <w:sz w:val="32"/>
          <w:szCs w:val="32"/>
        </w:rPr>
        <w:t>328.07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万元，其中：工资福利支出</w:t>
      </w:r>
      <w:r>
        <w:rPr>
          <w:rFonts w:ascii="仿宋_GB2312" w:hAnsi="仿宋_GB2312" w:eastAsia="仿宋_GB2312" w:cs="仿宋_GB2312"/>
          <w:sz w:val="32"/>
          <w:szCs w:val="32"/>
        </w:rPr>
        <w:t>208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万元，对个人和家庭的补助支出</w:t>
      </w:r>
      <w:r>
        <w:rPr>
          <w:rFonts w:ascii="仿宋_GB2312" w:hAnsi="仿宋_GB2312" w:eastAsia="仿宋_GB2312" w:cs="仿宋_GB2312"/>
          <w:sz w:val="32"/>
          <w:szCs w:val="32"/>
        </w:rPr>
        <w:t>90.66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万元，一般商品和服务支出</w:t>
      </w:r>
      <w:r>
        <w:rPr>
          <w:rFonts w:ascii="仿宋_GB2312" w:hAnsi="仿宋_GB2312" w:eastAsia="仿宋_GB2312" w:cs="仿宋_GB2312"/>
          <w:sz w:val="32"/>
          <w:szCs w:val="32"/>
        </w:rPr>
        <w:t>29.41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  <w:r>
        <w:rPr>
          <w:rFonts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、项目支出预算0万元。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四、“三公经费”说明</w:t>
      </w:r>
    </w:p>
    <w:p>
      <w:pPr>
        <w:ind w:firstLine="640" w:firstLineChars="200"/>
        <w:rPr>
          <w:rFonts w:ascii="仿宋_GB2312" w:hAnsi="Calibri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2016</w:t>
      </w:r>
      <w:r>
        <w:rPr>
          <w:rFonts w:hint="eastAsia" w:ascii="仿宋_GB2312" w:hAnsi="Calibri" w:eastAsia="仿宋_GB2312"/>
          <w:sz w:val="32"/>
          <w:szCs w:val="32"/>
        </w:rPr>
        <w:t>年“三公经费”预算安排共</w:t>
      </w:r>
      <w:r>
        <w:rPr>
          <w:rFonts w:hint="eastAsia" w:ascii="仿宋_GB2312" w:hAnsi="Calibri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/>
          <w:sz w:val="32"/>
          <w:szCs w:val="32"/>
        </w:rPr>
        <w:t>万元，</w:t>
      </w:r>
      <w:r>
        <w:rPr>
          <w:rFonts w:hint="eastAsia" w:ascii="仿宋_GB2312" w:hAnsi="Calibri" w:eastAsia="仿宋_GB2312"/>
          <w:sz w:val="32"/>
          <w:szCs w:val="32"/>
          <w:lang w:eastAsia="zh-CN"/>
        </w:rPr>
        <w:t>与上年保持一致，其中</w:t>
      </w:r>
      <w:r>
        <w:rPr>
          <w:rFonts w:hint="eastAsia" w:ascii="仿宋_GB2312" w:hAnsi="Calibri" w:eastAsia="仿宋_GB2312"/>
          <w:sz w:val="32"/>
          <w:szCs w:val="32"/>
        </w:rPr>
        <w:t>：因公出国（境）费预算安排0万元，</w:t>
      </w:r>
      <w:r>
        <w:rPr>
          <w:rFonts w:hint="eastAsia" w:ascii="仿宋_GB2312" w:hAnsi="Calibri" w:eastAsia="仿宋_GB2312"/>
          <w:sz w:val="32"/>
          <w:szCs w:val="32"/>
          <w:lang w:eastAsia="zh-CN"/>
        </w:rPr>
        <w:t>与上年保持一致</w:t>
      </w:r>
      <w:r>
        <w:rPr>
          <w:rFonts w:hint="eastAsia" w:ascii="仿宋_GB2312" w:hAnsi="Calibri" w:eastAsia="仿宋_GB2312"/>
          <w:sz w:val="32"/>
          <w:szCs w:val="32"/>
        </w:rPr>
        <w:t>。公务用车购置及运行维护费预算安排</w:t>
      </w:r>
      <w:r>
        <w:rPr>
          <w:rFonts w:hint="eastAsia" w:ascii="仿宋_GB2312" w:hAnsi="Calibri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/>
          <w:sz w:val="32"/>
          <w:szCs w:val="32"/>
        </w:rPr>
        <w:t>万元，</w:t>
      </w:r>
      <w:r>
        <w:rPr>
          <w:rFonts w:hint="eastAsia" w:ascii="仿宋_GB2312" w:hAnsi="Calibri" w:eastAsia="仿宋_GB2312"/>
          <w:sz w:val="32"/>
          <w:szCs w:val="32"/>
          <w:lang w:eastAsia="zh-CN"/>
        </w:rPr>
        <w:t>与上年保持一致</w:t>
      </w:r>
      <w:r>
        <w:rPr>
          <w:rFonts w:hint="eastAsia" w:ascii="仿宋_GB2312" w:hAnsi="Calibri" w:eastAsia="仿宋_GB2312"/>
          <w:sz w:val="32"/>
          <w:szCs w:val="32"/>
        </w:rPr>
        <w:t>。公务接待费预算安排0万元</w:t>
      </w:r>
      <w:r>
        <w:rPr>
          <w:rFonts w:hint="eastAsia" w:ascii="仿宋_GB2312" w:hAnsi="Calibri" w:eastAsia="仿宋_GB2312"/>
          <w:sz w:val="32"/>
          <w:szCs w:val="32"/>
          <w:lang w:eastAsia="zh-CN"/>
        </w:rPr>
        <w:t>，与上年保持一致</w:t>
      </w:r>
      <w:r>
        <w:rPr>
          <w:rFonts w:hint="eastAsia" w:ascii="仿宋_GB2312" w:hAnsi="Calibri" w:eastAsia="仿宋_GB2312"/>
          <w:sz w:val="32"/>
          <w:szCs w:val="32"/>
        </w:rPr>
        <w:t>。</w:t>
      </w:r>
    </w:p>
    <w:p>
      <w:pPr>
        <w:spacing w:line="500" w:lineRule="exact"/>
        <w:ind w:firstLine="643" w:firstLineChars="200"/>
        <w:rPr>
          <w:rFonts w:ascii="宋体"/>
          <w:b/>
          <w:sz w:val="32"/>
          <w:szCs w:val="32"/>
        </w:rPr>
      </w:pPr>
      <w:r>
        <w:rPr>
          <w:rFonts w:hint="eastAsia" w:ascii="宋体"/>
          <w:b/>
          <w:sz w:val="32"/>
          <w:szCs w:val="32"/>
        </w:rPr>
        <w:t>五、其他需要说明的情况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（一）关于“机关运行经费”支出的说明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年“机关运行经费”支出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元，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与上年保持一致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（二）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关于政府采购支出说明：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政府采购安排为零。</w:t>
      </w:r>
    </w:p>
    <w:p>
      <w:pPr>
        <w:spacing w:line="580" w:lineRule="exact"/>
        <w:ind w:firstLine="602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（三）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国有资产占有使用情况</w:t>
      </w:r>
      <w:r>
        <w:rPr>
          <w:rFonts w:hint="eastAsia" w:ascii="仿宋_GB2312" w:hAnsi="仿宋_GB2312" w:eastAsia="仿宋_GB2312" w:cs="仿宋_GB2312"/>
          <w:sz w:val="32"/>
          <w:szCs w:val="32"/>
        </w:rPr>
        <w:t>：截至</w:t>
      </w:r>
      <w:r>
        <w:rPr>
          <w:rFonts w:ascii="仿宋_GB2312" w:hAnsi="仿宋_GB2312" w:eastAsia="仿宋_GB2312" w:cs="仿宋_GB2312"/>
          <w:sz w:val="32"/>
          <w:szCs w:val="32"/>
        </w:rPr>
        <w:t>2015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ascii="仿宋_GB2312" w:hAnsi="仿宋_GB2312" w:eastAsia="仿宋_GB2312" w:cs="仿宋_GB2312"/>
          <w:sz w:val="32"/>
          <w:szCs w:val="32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ascii="仿宋_GB2312" w:hAnsi="仿宋_GB2312" w:eastAsia="仿宋_GB2312" w:cs="仿宋_GB2312"/>
          <w:sz w:val="32"/>
          <w:szCs w:val="32"/>
        </w:rPr>
        <w:t>31</w:t>
      </w:r>
      <w:r>
        <w:rPr>
          <w:rFonts w:hint="eastAsia" w:ascii="仿宋_GB2312" w:hAnsi="仿宋_GB2312" w:eastAsia="仿宋_GB2312" w:cs="仿宋_GB2312"/>
          <w:sz w:val="32"/>
          <w:szCs w:val="32"/>
        </w:rPr>
        <w:t>日，本部门国有资产总额为498.2万元。本部门共有车辆</w:t>
      </w:r>
      <w:r>
        <w:rPr>
          <w:rFonts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辆，全部均为一般公务用车，由于公务用车改革，使用管理权均为区机关事务局所有；单位价值20万元以上大型设备</w:t>
      </w:r>
      <w:r>
        <w:rPr>
          <w:rFonts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台（套）。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（四）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重点项目预算绩效目标设置情况</w:t>
      </w:r>
      <w:r>
        <w:rPr>
          <w:rFonts w:hint="eastAsia" w:ascii="仿宋_GB2312" w:hAnsi="仿宋_GB2312" w:eastAsia="仿宋_GB2312" w:cs="仿宋_GB2312"/>
          <w:sz w:val="32"/>
          <w:szCs w:val="32"/>
        </w:rPr>
        <w:t>：无</w:t>
      </w:r>
    </w:p>
    <w:p>
      <w:pPr>
        <w:widowControl/>
        <w:shd w:val="clear" w:color="auto" w:fill="FFFFFF"/>
        <w:spacing w:line="500" w:lineRule="atLeast"/>
        <w:ind w:firstLine="63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（五）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shd w:val="clear" w:color="auto" w:fill="FFFFFF"/>
        </w:rPr>
        <w:t>专业性较强的名词解释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  <w:t>无。</w:t>
      </w:r>
    </w:p>
    <w:p>
      <w:pPr>
        <w:spacing w:line="500" w:lineRule="exact"/>
        <w:rPr>
          <w:rFonts w:ascii="仿宋_GB2312" w:hAnsi="仿宋_GB2312" w:eastAsia="仿宋_GB2312" w:cs="仿宋_GB2312"/>
          <w:sz w:val="32"/>
          <w:szCs w:val="32"/>
        </w:rPr>
      </w:pPr>
    </w:p>
    <w:sectPr>
      <w:head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B0DB23"/>
    <w:multiLevelType w:val="singleLevel"/>
    <w:tmpl w:val="5AB0DB23"/>
    <w:lvl w:ilvl="0" w:tentative="0">
      <w:start w:val="1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714F0"/>
    <w:rsid w:val="000D1AD5"/>
    <w:rsid w:val="00101364"/>
    <w:rsid w:val="00135416"/>
    <w:rsid w:val="0019167A"/>
    <w:rsid w:val="00236A06"/>
    <w:rsid w:val="00280BC7"/>
    <w:rsid w:val="002E6A6D"/>
    <w:rsid w:val="002F4D59"/>
    <w:rsid w:val="003039DD"/>
    <w:rsid w:val="003164F1"/>
    <w:rsid w:val="00324D44"/>
    <w:rsid w:val="003D5742"/>
    <w:rsid w:val="0048633A"/>
    <w:rsid w:val="004956D7"/>
    <w:rsid w:val="004D4EFB"/>
    <w:rsid w:val="00534422"/>
    <w:rsid w:val="005F4CEA"/>
    <w:rsid w:val="005F716A"/>
    <w:rsid w:val="00632B9A"/>
    <w:rsid w:val="0065390B"/>
    <w:rsid w:val="00691C5E"/>
    <w:rsid w:val="006974DC"/>
    <w:rsid w:val="006C2A44"/>
    <w:rsid w:val="00753CB4"/>
    <w:rsid w:val="0076087A"/>
    <w:rsid w:val="007A4323"/>
    <w:rsid w:val="007C0EDA"/>
    <w:rsid w:val="007C3F3F"/>
    <w:rsid w:val="007E2506"/>
    <w:rsid w:val="00805EA0"/>
    <w:rsid w:val="00835A16"/>
    <w:rsid w:val="00863ECF"/>
    <w:rsid w:val="00895A57"/>
    <w:rsid w:val="008A0BA9"/>
    <w:rsid w:val="00941B91"/>
    <w:rsid w:val="009750A6"/>
    <w:rsid w:val="009914C4"/>
    <w:rsid w:val="009A74C9"/>
    <w:rsid w:val="00A14D34"/>
    <w:rsid w:val="00A26224"/>
    <w:rsid w:val="00A52225"/>
    <w:rsid w:val="00A94C88"/>
    <w:rsid w:val="00AB0476"/>
    <w:rsid w:val="00AB1817"/>
    <w:rsid w:val="00B35283"/>
    <w:rsid w:val="00B66D2C"/>
    <w:rsid w:val="00C36840"/>
    <w:rsid w:val="00C7439B"/>
    <w:rsid w:val="00C93045"/>
    <w:rsid w:val="00C942BE"/>
    <w:rsid w:val="00CB4CA5"/>
    <w:rsid w:val="00CC0CC7"/>
    <w:rsid w:val="00CF4F75"/>
    <w:rsid w:val="00D714F0"/>
    <w:rsid w:val="00DC1301"/>
    <w:rsid w:val="00E01817"/>
    <w:rsid w:val="00E06F44"/>
    <w:rsid w:val="00E15A50"/>
    <w:rsid w:val="00E235BE"/>
    <w:rsid w:val="00E616F0"/>
    <w:rsid w:val="00E67FCC"/>
    <w:rsid w:val="00EA35BB"/>
    <w:rsid w:val="00ED5DF9"/>
    <w:rsid w:val="00F56510"/>
    <w:rsid w:val="00FA029D"/>
    <w:rsid w:val="01FF58AD"/>
    <w:rsid w:val="07A7375C"/>
    <w:rsid w:val="0C7F7266"/>
    <w:rsid w:val="140D37EA"/>
    <w:rsid w:val="17912F0C"/>
    <w:rsid w:val="1ED47A76"/>
    <w:rsid w:val="1F23417E"/>
    <w:rsid w:val="26BC50DA"/>
    <w:rsid w:val="31355C8D"/>
    <w:rsid w:val="318D2FEA"/>
    <w:rsid w:val="351340E9"/>
    <w:rsid w:val="39175EE9"/>
    <w:rsid w:val="3AAD67BD"/>
    <w:rsid w:val="3EE76EDE"/>
    <w:rsid w:val="4B5A5F13"/>
    <w:rsid w:val="51B91EF3"/>
    <w:rsid w:val="54C553FD"/>
    <w:rsid w:val="5CAA4FF9"/>
    <w:rsid w:val="5CD425A9"/>
    <w:rsid w:val="60AE5E65"/>
    <w:rsid w:val="651F299C"/>
    <w:rsid w:val="6F06301C"/>
    <w:rsid w:val="76B725E4"/>
    <w:rsid w:val="7BEC2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qFormat/>
    <w:uiPriority w:val="99"/>
    <w:rPr>
      <w:rFonts w:cs="Times New Roman"/>
    </w:rPr>
  </w:style>
  <w:style w:type="character" w:customStyle="1" w:styleId="7">
    <w:name w:val="页脚 Char"/>
    <w:basedOn w:val="4"/>
    <w:link w:val="2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4"/>
    <w:link w:val="3"/>
    <w:locked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9">
    <w:name w:val="p0"/>
    <w:basedOn w:val="1"/>
    <w:qFormat/>
    <w:uiPriority w:val="99"/>
    <w:pPr>
      <w:widowControl/>
      <w:ind w:firstLine="420"/>
      <w:jc w:val="left"/>
    </w:pPr>
    <w:rPr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185</Words>
  <Characters>1056</Characters>
  <Lines>8</Lines>
  <Paragraphs>2</Paragraphs>
  <TotalTime>0</TotalTime>
  <ScaleCrop>false</ScaleCrop>
  <LinksUpToDate>false</LinksUpToDate>
  <CharactersWithSpaces>1239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2017-12-06T07:53:00Z</dcterms:created>
  <dc:creator>Administrator</dc:creator>
  <cp:lastModifiedBy>Administrator</cp:lastModifiedBy>
  <dcterms:modified xsi:type="dcterms:W3CDTF">2018-04-11T10:35:53Z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