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城市管理行政执法局霞山分局</w:t>
      </w:r>
      <w:r>
        <w:rPr>
          <w:rFonts w:ascii="方正小标宋简体" w:hAnsi="方正小标宋简体" w:eastAsia="方正小标宋简体" w:cs="方正小标宋简体"/>
          <w:sz w:val="84"/>
          <w:szCs w:val="84"/>
        </w:rPr>
        <w:t xml:space="preserve">  </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城市管理行政执法局霞山分局</w:t>
      </w:r>
      <w:r>
        <w:rPr>
          <w:rFonts w:ascii="黑体" w:hAnsi="黑体" w:eastAsia="黑体" w:cs="黑体"/>
          <w:sz w:val="32"/>
          <w:szCs w:val="32"/>
        </w:rPr>
        <w:t xml:space="preserve"> </w:t>
      </w:r>
      <w:r>
        <w:rPr>
          <w:rFonts w:hint="eastAsia" w:ascii="黑体" w:hAnsi="黑体" w:eastAsia="黑体" w:cs="黑体"/>
          <w:sz w:val="32"/>
          <w:szCs w:val="32"/>
        </w:rPr>
        <w:t>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城市管理行政执法局霞山分局</w:t>
      </w:r>
      <w:r>
        <w:rPr>
          <w:rFonts w:ascii="黑体" w:hAnsi="黑体" w:eastAsia="黑体" w:cs="黑体"/>
          <w:sz w:val="32"/>
          <w:szCs w:val="32"/>
        </w:rPr>
        <w:t xml:space="preserve">  </w:t>
      </w:r>
      <w:r>
        <w:rPr>
          <w:rFonts w:hint="eastAsia" w:ascii="黑体" w:hAnsi="黑体" w:eastAsia="黑体" w:cs="黑体"/>
          <w:sz w:val="32"/>
          <w:szCs w:val="32"/>
        </w:rPr>
        <w:t>部门预算表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城市管理行政执法局霞山分局预算情况说明</w:t>
      </w:r>
    </w:p>
    <w:p>
      <w:pPr>
        <w:spacing w:line="360" w:lineRule="auto"/>
        <w:jc w:val="center"/>
        <w:rPr>
          <w:rFonts w:ascii="宋体"/>
          <w:b/>
          <w:bCs/>
          <w:sz w:val="36"/>
          <w:szCs w:val="36"/>
        </w:rPr>
      </w:pPr>
    </w:p>
    <w:p>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600" w:lineRule="exact"/>
        <w:ind w:firstLine="643" w:firstLineChars="200"/>
        <w:rPr>
          <w:rFonts w:ascii="仿宋_GB2312" w:hAnsi="仿宋_GB2312" w:eastAsia="仿宋_GB2312" w:cs="仿宋_GB2312"/>
          <w:b/>
          <w:sz w:val="32"/>
          <w:szCs w:val="32"/>
        </w:rPr>
      </w:pPr>
      <w:r>
        <w:rPr>
          <w:rFonts w:hint="eastAsia" w:ascii="仿宋_GB2312" w:eastAsia="仿宋_GB2312"/>
          <w:b/>
          <w:sz w:val="32"/>
          <w:szCs w:val="32"/>
        </w:rPr>
        <w:t>（一）</w:t>
      </w:r>
      <w:r>
        <w:rPr>
          <w:rFonts w:hint="eastAsia" w:ascii="仿宋_GB2312" w:hAnsi="仿宋_GB2312" w:eastAsia="仿宋_GB2312" w:cs="仿宋_GB2312"/>
          <w:b/>
          <w:sz w:val="32"/>
          <w:szCs w:val="32"/>
        </w:rPr>
        <w:t>主要职责</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1.</w:t>
      </w:r>
      <w:r>
        <w:rPr>
          <w:rFonts w:hint="eastAsia" w:ascii="仿宋_GB2312" w:eastAsia="仿宋_GB2312"/>
          <w:sz w:val="30"/>
          <w:szCs w:val="30"/>
        </w:rPr>
        <w:t>在区政府和和市局的领导下，在区属辖区范围内全面履行《关于在湛江市开展相对集中行政处罚权工作的公告》（粤府[504]36号）和《关于我市恢复由公安交通管理部门行使对侵占城市道路行为行政处罚权的批复》（湛府函[507]210号）所赋予的各项执法任务。</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2.</w:t>
      </w:r>
      <w:r>
        <w:rPr>
          <w:rFonts w:hint="eastAsia" w:ascii="仿宋_GB2312" w:eastAsia="仿宋_GB2312"/>
          <w:sz w:val="30"/>
          <w:szCs w:val="30"/>
        </w:rPr>
        <w:t>加强队伍建设和思想政治教育，做好分局人、财、物的日常管理工作。</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3.</w:t>
      </w:r>
      <w:r>
        <w:rPr>
          <w:rFonts w:hint="eastAsia" w:ascii="仿宋_GB2312" w:eastAsia="仿宋_GB2312"/>
          <w:sz w:val="30"/>
          <w:szCs w:val="30"/>
        </w:rPr>
        <w:t>负责一般案件和重大案件的立案、审查、报批、组织听证。裁决、执法等执法活动。</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承担向法院申请执行、行政复议、行政诉讼和行政赔偿的相关工作。</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组织完成市城市管理行政执法局下达的年度或阶段性工作任务以及跨区执法活动、专项整治任务和区政府下达的日常城管执法任务。</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负责处理上级转办、交办的案件及群众投诉的案件。</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按照市城市管理行政执法局和区政府下发的管理制度和考评细则，负责对所属人员的月检查和季度、年度考核。</w:t>
      </w:r>
    </w:p>
    <w:p>
      <w:pPr>
        <w:spacing w:line="600" w:lineRule="exact"/>
        <w:ind w:firstLine="600" w:firstLineChars="200"/>
        <w:rPr>
          <w:rFonts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办理市、区和市城市管理行政执法局交办的其他事项。</w:t>
      </w:r>
    </w:p>
    <w:p>
      <w:pPr>
        <w:spacing w:line="600" w:lineRule="exact"/>
        <w:ind w:firstLine="645"/>
        <w:rPr>
          <w:rFonts w:ascii="仿宋_GB2312" w:hAnsi="仿宋" w:eastAsia="仿宋_GB2312"/>
          <w:b/>
          <w:sz w:val="30"/>
          <w:szCs w:val="30"/>
        </w:rPr>
      </w:pPr>
      <w:r>
        <w:rPr>
          <w:rFonts w:hint="eastAsia" w:ascii="仿宋_GB2312" w:eastAsia="仿宋_GB2312"/>
          <w:b/>
          <w:sz w:val="32"/>
          <w:szCs w:val="32"/>
        </w:rPr>
        <w:t>（二）</w:t>
      </w:r>
      <w:r>
        <w:rPr>
          <w:rFonts w:hint="eastAsia" w:ascii="仿宋_GB2312" w:hAnsi="仿宋" w:eastAsia="仿宋_GB2312"/>
          <w:b/>
          <w:sz w:val="30"/>
          <w:szCs w:val="30"/>
        </w:rPr>
        <w:t>机构设置</w:t>
      </w:r>
    </w:p>
    <w:p>
      <w:pPr>
        <w:spacing w:line="600" w:lineRule="exact"/>
        <w:ind w:firstLine="645"/>
        <w:rPr>
          <w:rFonts w:ascii="仿宋_GB2312" w:hAnsi="宋体" w:eastAsia="仿宋_GB2312" w:cs="宋体"/>
          <w:kern w:val="0"/>
          <w:sz w:val="30"/>
          <w:szCs w:val="30"/>
        </w:rPr>
      </w:pPr>
      <w:r>
        <w:rPr>
          <w:rFonts w:hint="eastAsia" w:ascii="仿宋_GB2312" w:hAnsi="仿宋" w:eastAsia="仿宋_GB2312"/>
          <w:b/>
          <w:sz w:val="30"/>
          <w:szCs w:val="30"/>
        </w:rPr>
        <w:t>本部门无下属单位，部门预算为本级预算。</w:t>
      </w:r>
      <w:r>
        <w:rPr>
          <w:rFonts w:hint="eastAsia" w:ascii="仿宋_GB2312" w:hAnsi="宋体" w:eastAsia="仿宋_GB2312" w:cs="宋体"/>
          <w:kern w:val="0"/>
          <w:sz w:val="30"/>
          <w:szCs w:val="30"/>
        </w:rPr>
        <w:t>根据上述职责，市城市管理行政执法局霞山分局设办公室、行政执法股、督察股、解放、爱国、工农、友谊、新兴、海滨、新园、建设、东新、海头、规划、机动1、机动2中队等16个内设机构，均为正股级。</w:t>
      </w:r>
      <w:r>
        <w:rPr>
          <w:rFonts w:hint="eastAsia" w:ascii="仿宋_GB2312" w:hAnsi="仿宋" w:eastAsia="仿宋_GB2312"/>
          <w:sz w:val="30"/>
          <w:szCs w:val="30"/>
        </w:rPr>
        <w:t>人员情况及增减变动原因：</w:t>
      </w:r>
      <w:r>
        <w:rPr>
          <w:rFonts w:hint="eastAsia" w:ascii="仿宋_GB2312" w:hAnsi="宋体" w:eastAsia="仿宋_GB2312" w:cs="宋体"/>
          <w:kern w:val="0"/>
          <w:sz w:val="30"/>
          <w:szCs w:val="30"/>
        </w:rPr>
        <w:t>市城市管理行政执法局霞山分局行政执法专项编制96名</w:t>
      </w:r>
      <w:r>
        <w:rPr>
          <w:rFonts w:hint="eastAsia" w:ascii="仿宋_GB2312" w:hAnsi="仿宋" w:eastAsia="仿宋_GB2312"/>
          <w:sz w:val="30"/>
          <w:szCs w:val="30"/>
        </w:rPr>
        <w:t>。2015年末实际在编在职人员88人，其中公务员编制82人，</w:t>
      </w:r>
      <w:r>
        <w:rPr>
          <w:rFonts w:hint="eastAsia" w:ascii="仿宋_GB2312" w:hAnsi="宋体" w:eastAsia="仿宋_GB2312" w:cs="宋体"/>
          <w:kern w:val="0"/>
          <w:sz w:val="30"/>
          <w:szCs w:val="30"/>
        </w:rPr>
        <w:t>机关后勤服务人员6人</w:t>
      </w:r>
      <w:r>
        <w:rPr>
          <w:rFonts w:hint="eastAsia" w:ascii="仿宋_GB2312" w:hAnsi="仿宋" w:eastAsia="仿宋_GB2312"/>
          <w:sz w:val="30"/>
          <w:szCs w:val="30"/>
        </w:rPr>
        <w:t>。协管队员50人，为编外人员。</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年收入预算</w:t>
      </w:r>
      <w:r>
        <w:rPr>
          <w:rFonts w:ascii="仿宋_GB2312" w:hAnsi="仿宋_GB2312" w:eastAsia="仿宋_GB2312" w:cs="仿宋_GB2312"/>
          <w:sz w:val="32"/>
          <w:szCs w:val="32"/>
        </w:rPr>
        <w:t>1307.95</w:t>
      </w:r>
      <w:r>
        <w:rPr>
          <w:rFonts w:hint="eastAsia" w:ascii="仿宋_GB2312" w:hAnsi="仿宋_GB2312" w:eastAsia="仿宋_GB2312" w:cs="仿宋_GB2312"/>
          <w:sz w:val="32"/>
          <w:szCs w:val="32"/>
        </w:rPr>
        <w:t>万元，同比减少</w:t>
      </w:r>
      <w:r>
        <w:rPr>
          <w:rFonts w:ascii="仿宋_GB2312" w:hAnsi="仿宋_GB2312" w:eastAsia="仿宋_GB2312" w:cs="仿宋_GB2312"/>
          <w:sz w:val="32"/>
          <w:szCs w:val="32"/>
        </w:rPr>
        <w:t>446.90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rPr>
        <w:t>25.4%。减少的原因的由于项目支出</w:t>
      </w:r>
      <w:r>
        <w:rPr>
          <w:rFonts w:hint="eastAsia" w:ascii="仿宋_GB2312" w:hAnsi="仿宋_GB2312" w:eastAsia="仿宋_GB2312" w:cs="仿宋_GB2312"/>
          <w:sz w:val="32"/>
          <w:szCs w:val="32"/>
          <w:lang w:eastAsia="zh-CN"/>
        </w:rPr>
        <w:t>的减少</w:t>
      </w: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1307.95</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1307.95</w:t>
      </w:r>
      <w:r>
        <w:rPr>
          <w:rFonts w:hint="eastAsia" w:ascii="仿宋_GB2312" w:hAnsi="仿宋_GB2312" w:eastAsia="仿宋_GB2312" w:cs="仿宋_GB2312"/>
          <w:sz w:val="32"/>
          <w:szCs w:val="32"/>
        </w:rPr>
        <w:t>万元，同比减少</w:t>
      </w:r>
      <w:r>
        <w:rPr>
          <w:rFonts w:ascii="仿宋_GB2312" w:hAnsi="仿宋_GB2312" w:eastAsia="仿宋_GB2312" w:cs="仿宋_GB2312"/>
          <w:sz w:val="32"/>
          <w:szCs w:val="32"/>
        </w:rPr>
        <w:t>446.90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rPr>
        <w:t>25.4%。减少的原因的由于项目支出</w:t>
      </w:r>
      <w:r>
        <w:rPr>
          <w:rFonts w:hint="eastAsia" w:ascii="仿宋_GB2312" w:hAnsi="仿宋_GB2312" w:eastAsia="仿宋_GB2312" w:cs="仿宋_GB2312"/>
          <w:sz w:val="32"/>
          <w:szCs w:val="32"/>
          <w:lang w:eastAsia="zh-CN"/>
        </w:rPr>
        <w:t>的减少</w:t>
      </w: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、基本支出预算0万元，其中：工资福利支出0万元，一般商品和服务支出0万元。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1307.95</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w:t>
      </w:r>
      <w:r>
        <w:rPr>
          <w:rFonts w:hint="eastAsia" w:ascii="仿宋_GB2312" w:hAnsi="Calibri" w:eastAsia="仿宋_GB2312"/>
          <w:sz w:val="30"/>
          <w:szCs w:val="30"/>
          <w:lang w:val="en-US" w:eastAsia="zh-CN"/>
        </w:rPr>
        <w:t>10</w:t>
      </w:r>
      <w:bookmarkStart w:id="0" w:name="_GoBack"/>
      <w:bookmarkEnd w:id="0"/>
      <w:r>
        <w:rPr>
          <w:rFonts w:hint="eastAsia" w:ascii="仿宋_GB2312" w:hAnsi="Calibri" w:eastAsia="仿宋_GB2312"/>
          <w:sz w:val="30"/>
          <w:szCs w:val="30"/>
          <w:lang w:val="en-US" w:eastAsia="zh-CN"/>
        </w:rPr>
        <w:t>8</w:t>
      </w:r>
      <w:r>
        <w:rPr>
          <w:rFonts w:hint="eastAsia" w:ascii="仿宋_GB2312" w:hAnsi="Calibri" w:eastAsia="仿宋_GB2312"/>
          <w:sz w:val="30"/>
          <w:szCs w:val="30"/>
        </w:rPr>
        <w:t>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w:t>
      </w:r>
      <w:r>
        <w:rPr>
          <w:rFonts w:hint="eastAsia" w:ascii="仿宋_GB2312" w:hAnsi="Calibri" w:eastAsia="仿宋_GB2312"/>
          <w:sz w:val="30"/>
          <w:szCs w:val="30"/>
          <w:lang w:val="en-US" w:eastAsia="zh-CN"/>
        </w:rPr>
        <w:t>108</w:t>
      </w:r>
      <w:r>
        <w:rPr>
          <w:rFonts w:hint="eastAsia" w:ascii="仿宋_GB2312" w:hAnsi="Calibri" w:eastAsia="仿宋_GB2312"/>
          <w:sz w:val="30"/>
          <w:szCs w:val="30"/>
        </w:rPr>
        <w:t>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宋体"/>
          <w:b/>
          <w:sz w:val="32"/>
          <w:szCs w:val="32"/>
        </w:rPr>
      </w:pPr>
      <w:r>
        <w:rPr>
          <w:rFonts w:hint="eastAsia" w:ascii="宋体"/>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年“机关运行经费”支出0万元，</w:t>
      </w:r>
      <w:r>
        <w:rPr>
          <w:rFonts w:hint="eastAsia" w:ascii="仿宋_GB2312" w:hAnsi="仿宋_GB2312" w:eastAsia="仿宋_GB2312" w:cs="仿宋_GB2312"/>
          <w:sz w:val="32"/>
          <w:szCs w:val="32"/>
          <w:lang w:eastAsia="zh-CN"/>
        </w:rPr>
        <w:t>与上年持平。</w:t>
      </w:r>
    </w:p>
    <w:p>
      <w:pPr>
        <w:spacing w:line="500" w:lineRule="exact"/>
        <w:ind w:firstLine="643" w:firstLineChars="200"/>
        <w:rPr>
          <w:rFonts w:ascii="仿宋_GB2312" w:hAnsi="仿宋_GB2312" w:eastAsia="仿宋_GB2312" w:cs="仿宋_GB2312"/>
          <w:b/>
          <w:sz w:val="32"/>
          <w:szCs w:val="32"/>
        </w:rPr>
      </w:pPr>
      <w:r>
        <w:rPr>
          <w:rFonts w:hint="eastAsia" w:ascii="仿宋_GB2312" w:eastAsia="仿宋_GB2312"/>
          <w:b/>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eastAsia="仿宋_GB2312"/>
          <w:b/>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日，本部门国有资产总额为237.8万元。本部门共有车辆</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eastAsia="仿宋_GB2312"/>
          <w:b/>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A6C58"/>
    <w:rsid w:val="000D1AD5"/>
    <w:rsid w:val="00101364"/>
    <w:rsid w:val="00141399"/>
    <w:rsid w:val="0019167A"/>
    <w:rsid w:val="00236A06"/>
    <w:rsid w:val="00280BC7"/>
    <w:rsid w:val="002C0003"/>
    <w:rsid w:val="002C6411"/>
    <w:rsid w:val="002E6A6D"/>
    <w:rsid w:val="003039DD"/>
    <w:rsid w:val="003164F1"/>
    <w:rsid w:val="003D5742"/>
    <w:rsid w:val="0048633A"/>
    <w:rsid w:val="004956D7"/>
    <w:rsid w:val="004D4EFB"/>
    <w:rsid w:val="005F4CEA"/>
    <w:rsid w:val="0065390B"/>
    <w:rsid w:val="00691C5E"/>
    <w:rsid w:val="006974DC"/>
    <w:rsid w:val="006C2A44"/>
    <w:rsid w:val="00753CB4"/>
    <w:rsid w:val="0076087A"/>
    <w:rsid w:val="007C0EDA"/>
    <w:rsid w:val="007C3F3F"/>
    <w:rsid w:val="007E2506"/>
    <w:rsid w:val="00805EA0"/>
    <w:rsid w:val="00835A16"/>
    <w:rsid w:val="008576E4"/>
    <w:rsid w:val="00863ECF"/>
    <w:rsid w:val="00895A57"/>
    <w:rsid w:val="008A0BA9"/>
    <w:rsid w:val="00941B91"/>
    <w:rsid w:val="009750A6"/>
    <w:rsid w:val="009914C4"/>
    <w:rsid w:val="009A74C9"/>
    <w:rsid w:val="00A52225"/>
    <w:rsid w:val="00A94C88"/>
    <w:rsid w:val="00AB0476"/>
    <w:rsid w:val="00AB1817"/>
    <w:rsid w:val="00B30849"/>
    <w:rsid w:val="00B36567"/>
    <w:rsid w:val="00B66D2C"/>
    <w:rsid w:val="00C36840"/>
    <w:rsid w:val="00C7439B"/>
    <w:rsid w:val="00C805AF"/>
    <w:rsid w:val="00C93045"/>
    <w:rsid w:val="00C942BE"/>
    <w:rsid w:val="00CB4CA5"/>
    <w:rsid w:val="00CF4F75"/>
    <w:rsid w:val="00D714F0"/>
    <w:rsid w:val="00DC1301"/>
    <w:rsid w:val="00E01817"/>
    <w:rsid w:val="00E04011"/>
    <w:rsid w:val="00E15A50"/>
    <w:rsid w:val="00E22BBF"/>
    <w:rsid w:val="00E235BE"/>
    <w:rsid w:val="00E616F0"/>
    <w:rsid w:val="00E67FCC"/>
    <w:rsid w:val="00ED5DF9"/>
    <w:rsid w:val="00F42632"/>
    <w:rsid w:val="00F56510"/>
    <w:rsid w:val="00F679A1"/>
    <w:rsid w:val="00FA029D"/>
    <w:rsid w:val="01FF58AD"/>
    <w:rsid w:val="07A7375C"/>
    <w:rsid w:val="0C7F7266"/>
    <w:rsid w:val="140D37EA"/>
    <w:rsid w:val="17912F0C"/>
    <w:rsid w:val="1ED47A76"/>
    <w:rsid w:val="1F23417E"/>
    <w:rsid w:val="26BC50DA"/>
    <w:rsid w:val="318D2FEA"/>
    <w:rsid w:val="351340E9"/>
    <w:rsid w:val="386B3E26"/>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270</Words>
  <Characters>1545</Characters>
  <Lines>12</Lines>
  <Paragraphs>3</Paragraphs>
  <TotalTime>0</TotalTime>
  <ScaleCrop>false</ScaleCrop>
  <LinksUpToDate>false</LinksUpToDate>
  <CharactersWithSpaces>1812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2017-12-06T07:53:00Z</dcterms:created>
  <dc:creator>Administrator</dc:creator>
  <cp:lastModifiedBy>Administrator</cp:lastModifiedBy>
  <dcterms:modified xsi:type="dcterms:W3CDTF">2018-04-12T01:19:44Z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