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color w:val="000000" w:themeColor="text1"/>
          <w:sz w:val="84"/>
          <w:szCs w:val="84"/>
        </w:rPr>
      </w:pPr>
    </w:p>
    <w:p>
      <w:pPr>
        <w:jc w:val="center"/>
        <w:rPr>
          <w:rFonts w:ascii="方正小标宋简体" w:hAnsi="方正小标宋简体" w:eastAsia="方正小标宋简体" w:cs="方正小标宋简体"/>
          <w:color w:val="000000" w:themeColor="text1"/>
          <w:sz w:val="84"/>
          <w:szCs w:val="84"/>
        </w:rPr>
      </w:pPr>
    </w:p>
    <w:p>
      <w:pPr>
        <w:jc w:val="center"/>
        <w:rPr>
          <w:rFonts w:ascii="方正小标宋简体" w:hAnsi="方正小标宋简体" w:eastAsia="方正小标宋简体" w:cs="方正小标宋简体"/>
          <w:color w:val="000000" w:themeColor="text1"/>
          <w:sz w:val="84"/>
          <w:szCs w:val="84"/>
        </w:rPr>
      </w:pPr>
      <w:r>
        <w:rPr>
          <w:rFonts w:ascii="方正小标宋简体" w:hAnsi="方正小标宋简体" w:eastAsia="方正小标宋简体" w:cs="方正小标宋简体"/>
          <w:color w:val="000000" w:themeColor="text1"/>
          <w:sz w:val="84"/>
          <w:szCs w:val="84"/>
        </w:rPr>
        <w:t>2016</w:t>
      </w:r>
      <w:r>
        <w:rPr>
          <w:rFonts w:hint="eastAsia" w:ascii="方正小标宋简体" w:hAnsi="方正小标宋简体" w:eastAsia="方正小标宋简体" w:cs="方正小标宋简体"/>
          <w:color w:val="000000" w:themeColor="text1"/>
          <w:sz w:val="84"/>
          <w:szCs w:val="84"/>
        </w:rPr>
        <w:t>年</w:t>
      </w:r>
    </w:p>
    <w:p>
      <w:pPr>
        <w:jc w:val="center"/>
        <w:rPr>
          <w:rFonts w:ascii="方正小标宋简体" w:hAnsi="方正小标宋简体" w:eastAsia="方正小标宋简体" w:cs="方正小标宋简体"/>
          <w:color w:val="000000" w:themeColor="text1"/>
          <w:sz w:val="84"/>
          <w:szCs w:val="84"/>
        </w:rPr>
      </w:pPr>
      <w:r>
        <w:rPr>
          <w:rFonts w:hint="eastAsia" w:ascii="方正小标宋简体" w:hAnsi="方正小标宋简体" w:eastAsia="方正小标宋简体" w:cs="方正小标宋简体"/>
          <w:color w:val="000000" w:themeColor="text1"/>
          <w:sz w:val="84"/>
          <w:szCs w:val="84"/>
          <w:lang w:eastAsia="zh-CN"/>
        </w:rPr>
        <w:t>湛江市</w:t>
      </w:r>
      <w:r>
        <w:rPr>
          <w:rFonts w:hint="eastAsia" w:ascii="方正小标宋简体" w:hAnsi="方正小标宋简体" w:eastAsia="方正小标宋简体" w:cs="方正小标宋简体"/>
          <w:color w:val="000000" w:themeColor="text1"/>
          <w:sz w:val="84"/>
          <w:szCs w:val="84"/>
        </w:rPr>
        <w:t>第二十七中学</w:t>
      </w:r>
    </w:p>
    <w:p>
      <w:pPr>
        <w:jc w:val="center"/>
        <w:rPr>
          <w:rFonts w:ascii="方正小标宋简体" w:hAnsi="方正小标宋简体" w:eastAsia="方正小标宋简体" w:cs="方正小标宋简体"/>
          <w:color w:val="000000" w:themeColor="text1"/>
          <w:sz w:val="84"/>
          <w:szCs w:val="84"/>
        </w:rPr>
      </w:pPr>
      <w:r>
        <w:rPr>
          <w:rFonts w:hint="eastAsia" w:ascii="方正小标宋简体" w:hAnsi="方正小标宋简体" w:eastAsia="方正小标宋简体" w:cs="方正小标宋简体"/>
          <w:color w:val="000000" w:themeColor="text1"/>
          <w:sz w:val="84"/>
          <w:szCs w:val="84"/>
        </w:rPr>
        <w:t>部门预算</w:t>
      </w: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jc w:val="center"/>
        <w:rPr>
          <w:rFonts w:ascii="仿宋_GB2312" w:hAnsi="仿宋_GB2312" w:eastAsia="仿宋_GB2312" w:cs="仿宋_GB2312"/>
          <w:color w:val="000000" w:themeColor="text1"/>
          <w:sz w:val="32"/>
          <w:szCs w:val="32"/>
        </w:rPr>
      </w:pPr>
      <w:r>
        <w:rPr>
          <w:rFonts w:hint="eastAsia" w:ascii="方正小标宋简体" w:hAnsi="方正小标宋简体" w:eastAsia="方正小标宋简体" w:cs="方正小标宋简体"/>
          <w:color w:val="000000" w:themeColor="text1"/>
          <w:sz w:val="44"/>
          <w:szCs w:val="44"/>
        </w:rPr>
        <w:t>目</w:t>
      </w:r>
      <w:r>
        <w:rPr>
          <w:rFonts w:ascii="方正小标宋简体" w:hAnsi="方正小标宋简体" w:eastAsia="方正小标宋简体" w:cs="方正小标宋简体"/>
          <w:color w:val="000000" w:themeColor="text1"/>
          <w:sz w:val="44"/>
          <w:szCs w:val="44"/>
        </w:rPr>
        <w:t xml:space="preserve"> </w:t>
      </w:r>
      <w:r>
        <w:rPr>
          <w:rFonts w:hint="eastAsia" w:ascii="方正小标宋简体" w:hAnsi="方正小标宋简体" w:eastAsia="方正小标宋简体" w:cs="方正小标宋简体"/>
          <w:color w:val="000000" w:themeColor="text1"/>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第一部分</w:t>
      </w:r>
      <w:r>
        <w:rPr>
          <w:rFonts w:ascii="黑体" w:hAnsi="黑体" w:eastAsia="黑体" w:cs="黑体"/>
          <w:color w:val="000000" w:themeColor="text1"/>
          <w:sz w:val="32"/>
          <w:szCs w:val="32"/>
        </w:rPr>
        <w:t xml:space="preserve">   2016 </w:t>
      </w:r>
      <w:r>
        <w:rPr>
          <w:rFonts w:hint="eastAsia" w:ascii="黑体" w:hAnsi="黑体" w:eastAsia="黑体" w:cs="黑体"/>
          <w:color w:val="000000" w:themeColor="text1"/>
          <w:sz w:val="32"/>
          <w:szCs w:val="32"/>
        </w:rPr>
        <w:t>年</w:t>
      </w:r>
      <w:r>
        <w:rPr>
          <w:rFonts w:hint="eastAsia" w:ascii="黑体" w:hAnsi="黑体" w:eastAsia="黑体" w:cs="黑体"/>
          <w:color w:val="000000" w:themeColor="text1"/>
          <w:sz w:val="32"/>
          <w:szCs w:val="32"/>
          <w:lang w:eastAsia="zh-CN"/>
        </w:rPr>
        <w:t>湛江市</w:t>
      </w:r>
      <w:r>
        <w:rPr>
          <w:rFonts w:hint="eastAsia" w:ascii="黑体" w:hAnsi="黑体" w:eastAsia="黑体" w:cs="黑体"/>
          <w:color w:val="000000" w:themeColor="text1"/>
          <w:sz w:val="32"/>
          <w:szCs w:val="32"/>
        </w:rPr>
        <w:t>第二十七中学部门预算基本情况说明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四、</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三公</w:t>
      </w:r>
      <w:r>
        <w:rPr>
          <w:rFonts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第二部分</w:t>
      </w:r>
      <w:r>
        <w:rPr>
          <w:rFonts w:ascii="黑体" w:hAnsi="黑体" w:eastAsia="黑体" w:cs="黑体"/>
          <w:color w:val="000000" w:themeColor="text1"/>
          <w:sz w:val="32"/>
          <w:szCs w:val="32"/>
        </w:rPr>
        <w:t xml:space="preserve">    2016 </w:t>
      </w:r>
      <w:r>
        <w:rPr>
          <w:rFonts w:hint="eastAsia" w:ascii="黑体" w:hAnsi="黑体" w:eastAsia="黑体" w:cs="黑体"/>
          <w:color w:val="000000" w:themeColor="text1"/>
          <w:sz w:val="32"/>
          <w:szCs w:val="32"/>
        </w:rPr>
        <w:t>年</w:t>
      </w:r>
      <w:r>
        <w:rPr>
          <w:rFonts w:ascii="黑体" w:hAnsi="黑体" w:eastAsia="黑体" w:cs="黑体"/>
          <w:color w:val="000000" w:themeColor="text1"/>
          <w:sz w:val="32"/>
          <w:szCs w:val="32"/>
        </w:rPr>
        <w:t xml:space="preserve"> </w:t>
      </w:r>
      <w:r>
        <w:rPr>
          <w:rFonts w:hint="eastAsia" w:ascii="黑体" w:hAnsi="黑体" w:eastAsia="黑体" w:cs="黑体"/>
          <w:color w:val="000000" w:themeColor="text1"/>
          <w:sz w:val="32"/>
          <w:szCs w:val="32"/>
          <w:lang w:eastAsia="zh-CN"/>
        </w:rPr>
        <w:t>湛江市</w:t>
      </w:r>
      <w:r>
        <w:rPr>
          <w:rFonts w:ascii="黑体" w:hAnsi="黑体" w:eastAsia="黑体" w:cs="黑体"/>
          <w:color w:val="000000" w:themeColor="text1"/>
          <w:sz w:val="32"/>
          <w:szCs w:val="32"/>
        </w:rPr>
        <w:t xml:space="preserve"> </w:t>
      </w:r>
      <w:r>
        <w:rPr>
          <w:rFonts w:hint="eastAsia" w:ascii="黑体" w:hAnsi="黑体" w:eastAsia="黑体" w:cs="黑体"/>
          <w:color w:val="000000" w:themeColor="text1"/>
          <w:sz w:val="32"/>
          <w:szCs w:val="32"/>
        </w:rPr>
        <w:t>第二十七中学部门预算表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二、</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四、</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五、</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六、</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七、</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八、</w:t>
      </w: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年部门支出表</w:t>
      </w: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p>
    <w:p>
      <w:pPr>
        <w:spacing w:line="360" w:lineRule="auto"/>
        <w:jc w:val="center"/>
        <w:rPr>
          <w:rFonts w:ascii="宋体"/>
          <w:b/>
          <w:color w:val="000000" w:themeColor="text1"/>
          <w:sz w:val="44"/>
          <w:szCs w:val="44"/>
        </w:rPr>
      </w:pPr>
      <w:r>
        <w:rPr>
          <w:rFonts w:ascii="宋体" w:hAnsi="宋体"/>
          <w:b/>
          <w:color w:val="000000" w:themeColor="text1"/>
          <w:sz w:val="44"/>
          <w:szCs w:val="44"/>
        </w:rPr>
        <w:t>2016</w:t>
      </w:r>
      <w:r>
        <w:rPr>
          <w:rFonts w:hint="eastAsia" w:ascii="宋体" w:hAnsi="宋体"/>
          <w:b/>
          <w:color w:val="000000" w:themeColor="text1"/>
          <w:sz w:val="44"/>
          <w:szCs w:val="44"/>
        </w:rPr>
        <w:t>年</w:t>
      </w:r>
      <w:r>
        <w:rPr>
          <w:rFonts w:hint="eastAsia" w:ascii="宋体" w:hAnsi="宋体"/>
          <w:b/>
          <w:color w:val="000000" w:themeColor="text1"/>
          <w:sz w:val="44"/>
          <w:szCs w:val="44"/>
          <w:lang w:eastAsia="zh-CN"/>
        </w:rPr>
        <w:t>湛江市</w:t>
      </w:r>
      <w:r>
        <w:rPr>
          <w:rFonts w:hint="eastAsia" w:ascii="宋体" w:hAnsi="宋体"/>
          <w:b/>
          <w:color w:val="000000" w:themeColor="text1"/>
          <w:sz w:val="44"/>
          <w:szCs w:val="44"/>
        </w:rPr>
        <w:t>第二十七中学预算情况说明</w:t>
      </w:r>
    </w:p>
    <w:p>
      <w:pPr>
        <w:spacing w:line="360" w:lineRule="auto"/>
        <w:jc w:val="center"/>
        <w:rPr>
          <w:rFonts w:ascii="宋体"/>
          <w:b/>
          <w:bCs/>
          <w:color w:val="000000" w:themeColor="text1"/>
          <w:sz w:val="36"/>
          <w:szCs w:val="36"/>
        </w:rPr>
      </w:pPr>
    </w:p>
    <w:p>
      <w:pPr>
        <w:spacing w:line="360" w:lineRule="auto"/>
        <w:ind w:firstLine="643" w:firstLineChars="200"/>
        <w:outlineLvl w:val="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一、部门基本情况</w:t>
      </w:r>
    </w:p>
    <w:p>
      <w:pPr>
        <w:spacing w:line="500" w:lineRule="exact"/>
        <w:ind w:firstLine="600" w:firstLineChars="200"/>
        <w:outlineLvl w:val="0"/>
        <w:rPr>
          <w:rFonts w:ascii="仿宋_GB2312" w:hAnsi="仿宋_GB2312" w:eastAsia="仿宋_GB2312" w:cs="仿宋_GB2312"/>
          <w:color w:val="000000" w:themeColor="text1"/>
          <w:spacing w:val="-10"/>
          <w:sz w:val="32"/>
          <w:szCs w:val="32"/>
        </w:rPr>
      </w:pPr>
      <w:r>
        <w:rPr>
          <w:rFonts w:hint="eastAsia" w:ascii="仿宋_GB2312" w:hAnsi="仿宋_GB2312" w:eastAsia="仿宋_GB2312" w:cs="仿宋_GB2312"/>
          <w:spacing w:val="-10"/>
          <w:sz w:val="32"/>
          <w:szCs w:val="32"/>
        </w:rPr>
        <w:t>（一）</w:t>
      </w:r>
      <w:r>
        <w:rPr>
          <w:rFonts w:hint="eastAsia" w:ascii="仿宋_GB2312" w:hAnsi="仿宋_GB2312" w:eastAsia="仿宋_GB2312" w:cs="仿宋_GB2312"/>
          <w:color w:val="000000" w:themeColor="text1"/>
          <w:spacing w:val="-10"/>
          <w:sz w:val="32"/>
          <w:szCs w:val="32"/>
        </w:rPr>
        <w:t>基本职能：湛江市第二十七中学是全日制公办中学。主要职能是为国家培养人才，教育中学。</w:t>
      </w:r>
    </w:p>
    <w:p>
      <w:pPr>
        <w:spacing w:line="500" w:lineRule="exact"/>
        <w:ind w:firstLine="600" w:firstLineChars="200"/>
        <w:outlineLvl w:val="0"/>
        <w:rPr>
          <w:rFonts w:ascii="仿宋_GB2312" w:hAnsi="仿宋_GB2312" w:eastAsia="仿宋_GB2312" w:cs="仿宋_GB2312"/>
          <w:color w:val="000000" w:themeColor="text1"/>
          <w:spacing w:val="-10"/>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color w:val="000000" w:themeColor="text1"/>
          <w:spacing w:val="-10"/>
          <w:sz w:val="32"/>
          <w:szCs w:val="32"/>
        </w:rPr>
        <w:t>机构设置</w:t>
      </w:r>
    </w:p>
    <w:p>
      <w:pPr>
        <w:spacing w:line="500" w:lineRule="exact"/>
        <w:ind w:firstLine="600" w:firstLineChars="200"/>
        <w:outlineLvl w:val="0"/>
        <w:rPr>
          <w:rFonts w:ascii="仿宋_GB2312" w:hAnsi="仿宋_GB2312" w:eastAsia="仿宋_GB2312" w:cs="仿宋_GB2312"/>
          <w:color w:val="000000" w:themeColor="text1"/>
          <w:spacing w:val="-10"/>
          <w:sz w:val="32"/>
          <w:szCs w:val="32"/>
        </w:rPr>
      </w:pPr>
      <w:r>
        <w:rPr>
          <w:rFonts w:hint="eastAsia" w:ascii="仿宋_GB2312" w:hAnsi="仿宋_GB2312" w:eastAsia="仿宋_GB2312" w:cs="仿宋_GB2312"/>
          <w:color w:val="000000" w:themeColor="text1"/>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color w:val="000000" w:themeColor="text1"/>
          <w:spacing w:val="-10"/>
          <w:sz w:val="32"/>
          <w:szCs w:val="32"/>
        </w:rPr>
      </w:pPr>
      <w:r>
        <w:rPr>
          <w:rFonts w:hint="eastAsia" w:ascii="仿宋_GB2312" w:hAnsi="仿宋_GB2312" w:eastAsia="仿宋_GB2312" w:cs="仿宋_GB2312"/>
          <w:color w:val="000000" w:themeColor="text1"/>
          <w:spacing w:val="-10"/>
          <w:sz w:val="32"/>
          <w:szCs w:val="32"/>
        </w:rPr>
        <w:t>我校为独立核算单位</w:t>
      </w:r>
      <w:r>
        <w:rPr>
          <w:rFonts w:ascii="仿宋_GB2312" w:hAnsi="仿宋_GB2312" w:eastAsia="仿宋_GB2312" w:cs="仿宋_GB2312"/>
          <w:color w:val="000000" w:themeColor="text1"/>
          <w:spacing w:val="-10"/>
          <w:sz w:val="32"/>
          <w:szCs w:val="32"/>
        </w:rPr>
        <w:t>1</w:t>
      </w:r>
      <w:r>
        <w:rPr>
          <w:rFonts w:hint="eastAsia" w:ascii="仿宋_GB2312" w:hAnsi="仿宋_GB2312" w:eastAsia="仿宋_GB2312" w:cs="仿宋_GB2312"/>
          <w:color w:val="000000" w:themeColor="text1"/>
          <w:spacing w:val="-10"/>
          <w:sz w:val="32"/>
          <w:szCs w:val="32"/>
        </w:rPr>
        <w:t>个</w:t>
      </w:r>
      <w:r>
        <w:rPr>
          <w:rFonts w:ascii="仿宋_GB2312" w:hAnsi="仿宋_GB2312" w:eastAsia="仿宋_GB2312" w:cs="仿宋_GB2312"/>
          <w:color w:val="000000" w:themeColor="text1"/>
          <w:spacing w:val="-10"/>
          <w:sz w:val="32"/>
          <w:szCs w:val="32"/>
        </w:rPr>
        <w:t>,</w:t>
      </w:r>
      <w:r>
        <w:rPr>
          <w:rFonts w:hint="eastAsia" w:ascii="仿宋_GB2312" w:hAnsi="仿宋_GB2312" w:eastAsia="仿宋_GB2312" w:cs="仿宋_GB2312"/>
          <w:color w:val="000000" w:themeColor="text1"/>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二、收入预算说明</w:t>
      </w:r>
    </w:p>
    <w:p>
      <w:pPr>
        <w:spacing w:line="50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年收入预算</w:t>
      </w:r>
      <w:r>
        <w:rPr>
          <w:rFonts w:ascii="仿宋_GB2312" w:hAnsi="仿宋_GB2312" w:eastAsia="仿宋_GB2312" w:cs="仿宋_GB2312"/>
          <w:color w:val="000000" w:themeColor="text1"/>
          <w:sz w:val="32"/>
          <w:szCs w:val="32"/>
        </w:rPr>
        <w:t>1171.5</w:t>
      </w:r>
      <w:r>
        <w:rPr>
          <w:rFonts w:hint="eastAsia" w:ascii="仿宋_GB2312" w:hAnsi="仿宋_GB2312" w:eastAsia="仿宋_GB2312" w:cs="仿宋_GB2312"/>
          <w:color w:val="000000" w:themeColor="text1"/>
          <w:sz w:val="32"/>
          <w:szCs w:val="32"/>
        </w:rPr>
        <w:t>万元，同比增加</w:t>
      </w:r>
      <w:r>
        <w:rPr>
          <w:rFonts w:ascii="仿宋_GB2312" w:hAnsi="仿宋_GB2312" w:eastAsia="仿宋_GB2312" w:cs="仿宋_GB2312"/>
          <w:color w:val="000000" w:themeColor="text1"/>
          <w:sz w:val="32"/>
          <w:szCs w:val="32"/>
        </w:rPr>
        <w:t>17.75</w:t>
      </w:r>
      <w:r>
        <w:rPr>
          <w:rFonts w:hint="eastAsia" w:ascii="仿宋_GB2312" w:hAnsi="仿宋_GB2312" w:eastAsia="仿宋_GB2312" w:cs="仿宋_GB2312"/>
          <w:color w:val="000000" w:themeColor="text1"/>
          <w:sz w:val="32"/>
          <w:szCs w:val="32"/>
        </w:rPr>
        <w:t>万元,增加65%。增加的原因是由于工资福利支出和对个人和家庭的补助及一般商品和服务支出增加，其中：预算经费安排拨款</w:t>
      </w:r>
      <w:r>
        <w:rPr>
          <w:rFonts w:ascii="仿宋_GB2312" w:hAnsi="仿宋_GB2312" w:eastAsia="仿宋_GB2312" w:cs="仿宋_GB2312"/>
          <w:color w:val="000000" w:themeColor="text1"/>
          <w:sz w:val="32"/>
          <w:szCs w:val="32"/>
        </w:rPr>
        <w:t>1171.5</w:t>
      </w:r>
      <w:r>
        <w:rPr>
          <w:rFonts w:hint="eastAsia" w:ascii="仿宋_GB2312" w:hAnsi="仿宋_GB2312" w:eastAsia="仿宋_GB2312" w:cs="仿宋_GB2312"/>
          <w:color w:val="000000" w:themeColor="text1"/>
          <w:sz w:val="32"/>
          <w:szCs w:val="32"/>
        </w:rPr>
        <w:t>万元，其他非税收入安排拨款</w:t>
      </w:r>
      <w:r>
        <w:rPr>
          <w:rFonts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rPr>
        <w:t>万元。</w:t>
      </w:r>
    </w:p>
    <w:p>
      <w:pPr>
        <w:spacing w:line="5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三、支出预算说明</w:t>
      </w:r>
    </w:p>
    <w:p>
      <w:pPr>
        <w:spacing w:line="500" w:lineRule="exac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2016</w:t>
      </w:r>
      <w:r>
        <w:rPr>
          <w:rFonts w:hint="eastAsia" w:ascii="仿宋_GB2312" w:hAnsi="仿宋_GB2312" w:eastAsia="仿宋_GB2312" w:cs="仿宋_GB2312"/>
          <w:color w:val="000000" w:themeColor="text1"/>
          <w:sz w:val="32"/>
          <w:szCs w:val="32"/>
        </w:rPr>
        <w:t>年支出预算</w:t>
      </w:r>
      <w:r>
        <w:rPr>
          <w:rFonts w:ascii="仿宋_GB2312" w:hAnsi="仿宋_GB2312" w:eastAsia="仿宋_GB2312" w:cs="仿宋_GB2312"/>
          <w:color w:val="000000" w:themeColor="text1"/>
          <w:sz w:val="32"/>
          <w:szCs w:val="32"/>
        </w:rPr>
        <w:t>1171.5</w:t>
      </w:r>
      <w:r>
        <w:rPr>
          <w:rFonts w:hint="eastAsia" w:ascii="仿宋_GB2312" w:hAnsi="仿宋_GB2312" w:eastAsia="仿宋_GB2312" w:cs="仿宋_GB2312"/>
          <w:color w:val="000000" w:themeColor="text1"/>
          <w:sz w:val="32"/>
          <w:szCs w:val="32"/>
        </w:rPr>
        <w:t>万元，同比增加</w:t>
      </w:r>
      <w:r>
        <w:rPr>
          <w:rFonts w:ascii="仿宋_GB2312" w:hAnsi="仿宋_GB2312" w:eastAsia="仿宋_GB2312" w:cs="仿宋_GB2312"/>
          <w:color w:val="000000" w:themeColor="text1"/>
          <w:sz w:val="32"/>
          <w:szCs w:val="32"/>
        </w:rPr>
        <w:t>17.75</w:t>
      </w:r>
      <w:r>
        <w:rPr>
          <w:rFonts w:hint="eastAsia" w:ascii="仿宋_GB2312" w:hAnsi="仿宋_GB2312" w:eastAsia="仿宋_GB2312" w:cs="仿宋_GB2312"/>
          <w:color w:val="000000" w:themeColor="text1"/>
          <w:sz w:val="32"/>
          <w:szCs w:val="32"/>
        </w:rPr>
        <w:t>万元,增加65%。增加的原因的是由于工资福利支出和对个人和家庭的补助及一般商品和服务支出增加。</w:t>
      </w:r>
    </w:p>
    <w:p>
      <w:pPr>
        <w:spacing w:line="5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支出按经济分类划分：</w:t>
      </w:r>
      <w:r>
        <w:rPr>
          <w:rFonts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rPr>
        <w:t>、基本支出预算</w:t>
      </w:r>
      <w:r>
        <w:rPr>
          <w:rFonts w:ascii="仿宋_GB2312" w:hAnsi="仿宋_GB2312" w:eastAsia="仿宋_GB2312" w:cs="仿宋_GB2312"/>
          <w:color w:val="000000" w:themeColor="text1"/>
          <w:sz w:val="32"/>
          <w:szCs w:val="32"/>
        </w:rPr>
        <w:t>1,170.88</w:t>
      </w:r>
      <w:r>
        <w:rPr>
          <w:rFonts w:hint="eastAsia" w:ascii="仿宋_GB2312" w:hAnsi="仿宋_GB2312" w:eastAsia="仿宋_GB2312" w:cs="仿宋_GB2312"/>
          <w:color w:val="000000" w:themeColor="text1"/>
          <w:sz w:val="32"/>
          <w:szCs w:val="32"/>
        </w:rPr>
        <w:t>万元，其中：工资福利支出</w:t>
      </w:r>
      <w:r>
        <w:rPr>
          <w:rFonts w:ascii="仿宋_GB2312" w:hAnsi="仿宋_GB2312" w:eastAsia="仿宋_GB2312" w:cs="仿宋_GB2312"/>
          <w:color w:val="000000" w:themeColor="text1"/>
          <w:sz w:val="32"/>
          <w:szCs w:val="32"/>
        </w:rPr>
        <w:t>646.76</w:t>
      </w:r>
      <w:r>
        <w:rPr>
          <w:rFonts w:hint="eastAsia" w:ascii="仿宋_GB2312" w:hAnsi="仿宋_GB2312" w:eastAsia="仿宋_GB2312" w:cs="仿宋_GB2312"/>
          <w:color w:val="000000" w:themeColor="text1"/>
          <w:sz w:val="32"/>
          <w:szCs w:val="32"/>
        </w:rPr>
        <w:t>万元，一般商品和服务支出</w:t>
      </w:r>
      <w:r>
        <w:rPr>
          <w:rFonts w:ascii="仿宋_GB2312" w:hAnsi="仿宋_GB2312" w:eastAsia="仿宋_GB2312" w:cs="仿宋_GB2312"/>
          <w:color w:val="000000" w:themeColor="text1"/>
          <w:sz w:val="32"/>
          <w:szCs w:val="32"/>
        </w:rPr>
        <w:t>253.84</w:t>
      </w:r>
      <w:r>
        <w:rPr>
          <w:rFonts w:hint="eastAsia" w:ascii="仿宋_GB2312" w:hAnsi="仿宋_GB2312" w:eastAsia="仿宋_GB2312" w:cs="仿宋_GB2312"/>
          <w:color w:val="000000" w:themeColor="text1"/>
          <w:sz w:val="32"/>
          <w:szCs w:val="32"/>
        </w:rPr>
        <w:t>万元，对个人和家庭的补助支出</w:t>
      </w:r>
      <w:r>
        <w:rPr>
          <w:rFonts w:ascii="仿宋_GB2312" w:hAnsi="仿宋_GB2312" w:eastAsia="仿宋_GB2312" w:cs="仿宋_GB2312"/>
          <w:color w:val="000000" w:themeColor="text1"/>
          <w:sz w:val="32"/>
          <w:szCs w:val="32"/>
        </w:rPr>
        <w:t>270.28</w:t>
      </w:r>
      <w:r>
        <w:rPr>
          <w:rFonts w:hint="eastAsia" w:ascii="仿宋_GB2312" w:hAnsi="仿宋_GB2312" w:eastAsia="仿宋_GB2312" w:cs="仿宋_GB2312"/>
          <w:color w:val="000000" w:themeColor="text1"/>
          <w:sz w:val="32"/>
          <w:szCs w:val="32"/>
        </w:rPr>
        <w:t>万元。</w:t>
      </w:r>
      <w:r>
        <w:rPr>
          <w:rFonts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rPr>
        <w:t>、项目支出预算</w:t>
      </w:r>
      <w:r>
        <w:rPr>
          <w:rFonts w:ascii="仿宋_GB2312" w:hAnsi="仿宋_GB2312" w:eastAsia="仿宋_GB2312" w:cs="仿宋_GB2312"/>
          <w:color w:val="000000" w:themeColor="text1"/>
          <w:sz w:val="32"/>
          <w:szCs w:val="32"/>
        </w:rPr>
        <w:t>0.62</w:t>
      </w:r>
      <w:r>
        <w:rPr>
          <w:rFonts w:hint="eastAsia" w:ascii="仿宋_GB2312" w:hAnsi="仿宋_GB2312" w:eastAsia="仿宋_GB2312" w:cs="仿宋_GB2312"/>
          <w:color w:val="000000" w:themeColor="text1"/>
          <w:sz w:val="32"/>
          <w:szCs w:val="32"/>
        </w:rPr>
        <w:t>万元。</w:t>
      </w:r>
    </w:p>
    <w:p>
      <w:pPr>
        <w:spacing w:line="5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五、其他需要说明的情况</w:t>
      </w:r>
    </w:p>
    <w:p>
      <w:pPr>
        <w:spacing w:line="500" w:lineRule="exac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color w:val="000000" w:themeColor="text1"/>
          <w:sz w:val="32"/>
          <w:szCs w:val="32"/>
        </w:rPr>
        <w:t>关于政府采购支出说明：</w:t>
      </w:r>
    </w:p>
    <w:p>
      <w:pPr>
        <w:spacing w:line="5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政府采购安排为零。</w:t>
      </w:r>
      <w:bookmarkStart w:id="0" w:name="_GoBack"/>
      <w:bookmarkEnd w:id="0"/>
    </w:p>
    <w:p>
      <w:pPr>
        <w:spacing w:line="580" w:lineRule="exact"/>
        <w:ind w:firstLine="602"/>
        <w:rPr>
          <w:rFonts w:ascii="仿宋_GB2312" w:hAnsi="仿宋_GB2312" w:eastAsia="仿宋_GB2312" w:cs="仿宋_GB2312"/>
          <w:color w:val="000000" w:themeColor="text1"/>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color w:val="000000" w:themeColor="text1"/>
          <w:sz w:val="32"/>
          <w:szCs w:val="32"/>
        </w:rPr>
        <w:t>国有资产占有使用情况</w:t>
      </w:r>
      <w:r>
        <w:rPr>
          <w:rFonts w:hint="eastAsia" w:ascii="仿宋_GB2312" w:hAnsi="仿宋_GB2312" w:eastAsia="仿宋_GB2312" w:cs="仿宋_GB2312"/>
          <w:color w:val="000000" w:themeColor="text1"/>
          <w:sz w:val="32"/>
          <w:szCs w:val="32"/>
        </w:rPr>
        <w:t>：截至</w:t>
      </w:r>
      <w:r>
        <w:rPr>
          <w:rFonts w:ascii="仿宋_GB2312" w:hAnsi="仿宋_GB2312" w:eastAsia="仿宋_GB2312" w:cs="仿宋_GB2312"/>
          <w:color w:val="000000" w:themeColor="text1"/>
          <w:sz w:val="32"/>
          <w:szCs w:val="32"/>
        </w:rPr>
        <w:t>2015</w:t>
      </w:r>
      <w:r>
        <w:rPr>
          <w:rFonts w:hint="eastAsia" w:ascii="仿宋_GB2312" w:hAnsi="仿宋_GB2312" w:eastAsia="仿宋_GB2312" w:cs="仿宋_GB2312"/>
          <w:color w:val="000000" w:themeColor="text1"/>
          <w:sz w:val="32"/>
          <w:szCs w:val="32"/>
        </w:rPr>
        <w:t>年</w:t>
      </w:r>
      <w:r>
        <w:rPr>
          <w:rFonts w:ascii="仿宋_GB2312" w:hAnsi="仿宋_GB2312" w:eastAsia="仿宋_GB2312" w:cs="仿宋_GB2312"/>
          <w:color w:val="000000" w:themeColor="text1"/>
          <w:sz w:val="32"/>
          <w:szCs w:val="32"/>
        </w:rPr>
        <w:t>12</w:t>
      </w:r>
      <w:r>
        <w:rPr>
          <w:rFonts w:hint="eastAsia" w:ascii="仿宋_GB2312" w:hAnsi="仿宋_GB2312" w:eastAsia="仿宋_GB2312" w:cs="仿宋_GB2312"/>
          <w:color w:val="000000" w:themeColor="text1"/>
          <w:sz w:val="32"/>
          <w:szCs w:val="32"/>
        </w:rPr>
        <w:t>月</w:t>
      </w:r>
      <w:r>
        <w:rPr>
          <w:rFonts w:ascii="仿宋_GB2312" w:hAnsi="仿宋_GB2312" w:eastAsia="仿宋_GB2312" w:cs="仿宋_GB2312"/>
          <w:color w:val="000000" w:themeColor="text1"/>
          <w:sz w:val="32"/>
          <w:szCs w:val="32"/>
        </w:rPr>
        <w:t>31</w:t>
      </w:r>
      <w:r>
        <w:rPr>
          <w:rFonts w:hint="eastAsia" w:ascii="仿宋_GB2312" w:hAnsi="仿宋_GB2312" w:eastAsia="仿宋_GB2312" w:cs="仿宋_GB2312"/>
          <w:color w:val="000000" w:themeColor="text1"/>
          <w:sz w:val="32"/>
          <w:szCs w:val="32"/>
        </w:rPr>
        <w:t>日，</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本部门国有资产总额为1298.88万元。本部门共有车辆</w:t>
      </w:r>
      <w:r>
        <w:rPr>
          <w:rFonts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rPr>
        <w:t>辆，全部均为一般公务用车，由于公务用车改革，使用管理权均为区机关事务局所有；单位价值20万元以上大型设备</w:t>
      </w:r>
      <w:r>
        <w:rPr>
          <w:rFonts w:ascii="仿宋_GB2312" w:hAnsi="仿宋_GB2312" w:eastAsia="仿宋_GB2312" w:cs="仿宋_GB2312"/>
          <w:color w:val="000000" w:themeColor="text1"/>
          <w:sz w:val="32"/>
          <w:szCs w:val="32"/>
        </w:rPr>
        <w:t>0</w:t>
      </w:r>
      <w:r>
        <w:rPr>
          <w:rFonts w:hint="eastAsia" w:ascii="仿宋_GB2312" w:hAnsi="仿宋_GB2312" w:eastAsia="仿宋_GB2312" w:cs="仿宋_GB2312"/>
          <w:color w:val="000000" w:themeColor="text1"/>
          <w:sz w:val="32"/>
          <w:szCs w:val="32"/>
        </w:rPr>
        <w:t>台（套）。</w:t>
      </w:r>
    </w:p>
    <w:p>
      <w:pPr>
        <w:spacing w:line="500" w:lineRule="exact"/>
        <w:ind w:firstLine="60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color w:val="000000" w:themeColor="text1"/>
          <w:sz w:val="32"/>
          <w:szCs w:val="32"/>
        </w:rPr>
        <w:t>重点项目预算绩效目标设置情况</w:t>
      </w:r>
      <w:r>
        <w:rPr>
          <w:rFonts w:hint="eastAsia" w:ascii="仿宋_GB2312" w:hAnsi="仿宋_GB2312" w:eastAsia="仿宋_GB2312" w:cs="仿宋_GB2312"/>
          <w:color w:val="000000" w:themeColor="text1"/>
          <w:sz w:val="32"/>
          <w:szCs w:val="32"/>
        </w:rPr>
        <w:t>：无</w:t>
      </w:r>
    </w:p>
    <w:p>
      <w:pPr>
        <w:widowControl/>
        <w:shd w:val="clear" w:color="auto" w:fill="FFFFFF"/>
        <w:spacing w:line="500" w:lineRule="atLeast"/>
        <w:ind w:firstLine="630"/>
        <w:rPr>
          <w:rFonts w:ascii="仿宋_GB2312" w:hAnsi="仿宋_GB2312" w:eastAsia="仿宋_GB2312" w:cs="仿宋_GB2312"/>
          <w:color w:val="000000" w:themeColor="text1"/>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themeColor="text1"/>
          <w:kern w:val="0"/>
          <w:sz w:val="32"/>
          <w:szCs w:val="32"/>
          <w:shd w:val="clear" w:color="auto" w:fill="FFFFFF"/>
        </w:rPr>
        <w:t>专业性较强的名词解释</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kern w:val="0"/>
          <w:sz w:val="32"/>
          <w:szCs w:val="32"/>
          <w:shd w:val="clear" w:color="auto" w:fill="FFFFFF"/>
        </w:rPr>
        <w:t>无。</w:t>
      </w:r>
    </w:p>
    <w:p>
      <w:pPr>
        <w:spacing w:line="500" w:lineRule="exact"/>
        <w:rPr>
          <w:rFonts w:ascii="仿宋_GB2312" w:hAnsi="仿宋_GB2312" w:eastAsia="仿宋_GB2312" w:cs="仿宋_GB2312"/>
          <w:color w:val="000000" w:themeColor="text1"/>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B3B02"/>
    <w:rsid w:val="000D1AD5"/>
    <w:rsid w:val="00101364"/>
    <w:rsid w:val="00105C57"/>
    <w:rsid w:val="00111D57"/>
    <w:rsid w:val="0019167A"/>
    <w:rsid w:val="001A760E"/>
    <w:rsid w:val="001E6230"/>
    <w:rsid w:val="00236A06"/>
    <w:rsid w:val="00241D74"/>
    <w:rsid w:val="00260980"/>
    <w:rsid w:val="00266742"/>
    <w:rsid w:val="00280BC7"/>
    <w:rsid w:val="0028591B"/>
    <w:rsid w:val="002E2269"/>
    <w:rsid w:val="002E3F80"/>
    <w:rsid w:val="002E6A6D"/>
    <w:rsid w:val="003039DD"/>
    <w:rsid w:val="003164F1"/>
    <w:rsid w:val="0032454A"/>
    <w:rsid w:val="003304DA"/>
    <w:rsid w:val="00351DA6"/>
    <w:rsid w:val="00360035"/>
    <w:rsid w:val="00363469"/>
    <w:rsid w:val="00385604"/>
    <w:rsid w:val="003D5742"/>
    <w:rsid w:val="003F56BC"/>
    <w:rsid w:val="0041208F"/>
    <w:rsid w:val="00425E92"/>
    <w:rsid w:val="00460984"/>
    <w:rsid w:val="00467D47"/>
    <w:rsid w:val="0048633A"/>
    <w:rsid w:val="004956D7"/>
    <w:rsid w:val="004D4EFB"/>
    <w:rsid w:val="004D7796"/>
    <w:rsid w:val="004E3B1F"/>
    <w:rsid w:val="00540747"/>
    <w:rsid w:val="00552CF0"/>
    <w:rsid w:val="0059055E"/>
    <w:rsid w:val="005A1B12"/>
    <w:rsid w:val="005F088B"/>
    <w:rsid w:val="005F4CEA"/>
    <w:rsid w:val="00611CB5"/>
    <w:rsid w:val="006148F8"/>
    <w:rsid w:val="006207E1"/>
    <w:rsid w:val="0065390B"/>
    <w:rsid w:val="00665873"/>
    <w:rsid w:val="00691C5E"/>
    <w:rsid w:val="006974DC"/>
    <w:rsid w:val="006C2A44"/>
    <w:rsid w:val="006E0269"/>
    <w:rsid w:val="00704AA5"/>
    <w:rsid w:val="00741CE3"/>
    <w:rsid w:val="00742528"/>
    <w:rsid w:val="00753CB4"/>
    <w:rsid w:val="0076087A"/>
    <w:rsid w:val="00777199"/>
    <w:rsid w:val="007C0EDA"/>
    <w:rsid w:val="007C3F3F"/>
    <w:rsid w:val="007E2506"/>
    <w:rsid w:val="00805EA0"/>
    <w:rsid w:val="00835A16"/>
    <w:rsid w:val="00837AED"/>
    <w:rsid w:val="00863ECF"/>
    <w:rsid w:val="00867F6A"/>
    <w:rsid w:val="00895A57"/>
    <w:rsid w:val="008A0BA9"/>
    <w:rsid w:val="008D004C"/>
    <w:rsid w:val="008D540D"/>
    <w:rsid w:val="00915D64"/>
    <w:rsid w:val="00916055"/>
    <w:rsid w:val="00931F2D"/>
    <w:rsid w:val="00941B91"/>
    <w:rsid w:val="009750A6"/>
    <w:rsid w:val="0098285C"/>
    <w:rsid w:val="009914C4"/>
    <w:rsid w:val="009A06ED"/>
    <w:rsid w:val="009A74C9"/>
    <w:rsid w:val="009D02BF"/>
    <w:rsid w:val="00A52225"/>
    <w:rsid w:val="00A5433C"/>
    <w:rsid w:val="00A94C88"/>
    <w:rsid w:val="00AA5328"/>
    <w:rsid w:val="00AB0476"/>
    <w:rsid w:val="00AB1817"/>
    <w:rsid w:val="00B02FDB"/>
    <w:rsid w:val="00B348C9"/>
    <w:rsid w:val="00B536D9"/>
    <w:rsid w:val="00B66D2C"/>
    <w:rsid w:val="00BC5885"/>
    <w:rsid w:val="00C019E2"/>
    <w:rsid w:val="00C1380C"/>
    <w:rsid w:val="00C36840"/>
    <w:rsid w:val="00C60DF7"/>
    <w:rsid w:val="00C7439B"/>
    <w:rsid w:val="00C93045"/>
    <w:rsid w:val="00C942BE"/>
    <w:rsid w:val="00C96889"/>
    <w:rsid w:val="00CB4CA5"/>
    <w:rsid w:val="00CB6767"/>
    <w:rsid w:val="00CF4F75"/>
    <w:rsid w:val="00CF51EA"/>
    <w:rsid w:val="00D13742"/>
    <w:rsid w:val="00D33A64"/>
    <w:rsid w:val="00D6038D"/>
    <w:rsid w:val="00D662A7"/>
    <w:rsid w:val="00D67C3C"/>
    <w:rsid w:val="00D714F0"/>
    <w:rsid w:val="00DB7182"/>
    <w:rsid w:val="00DC1301"/>
    <w:rsid w:val="00E016A9"/>
    <w:rsid w:val="00E01817"/>
    <w:rsid w:val="00E15A50"/>
    <w:rsid w:val="00E235BE"/>
    <w:rsid w:val="00E314A4"/>
    <w:rsid w:val="00E34229"/>
    <w:rsid w:val="00E616F0"/>
    <w:rsid w:val="00E67FCC"/>
    <w:rsid w:val="00E871B5"/>
    <w:rsid w:val="00ED5DF9"/>
    <w:rsid w:val="00F27C01"/>
    <w:rsid w:val="00F56510"/>
    <w:rsid w:val="00F8385B"/>
    <w:rsid w:val="00FA029D"/>
    <w:rsid w:val="00FA1132"/>
    <w:rsid w:val="00FA73D1"/>
    <w:rsid w:val="00FD01FA"/>
    <w:rsid w:val="00FF03D2"/>
    <w:rsid w:val="01FF58AD"/>
    <w:rsid w:val="06031504"/>
    <w:rsid w:val="07A7375C"/>
    <w:rsid w:val="0C7F7266"/>
    <w:rsid w:val="140D37EA"/>
    <w:rsid w:val="17912F0C"/>
    <w:rsid w:val="1ED47A76"/>
    <w:rsid w:val="1F23417E"/>
    <w:rsid w:val="26BC50DA"/>
    <w:rsid w:val="318D2FEA"/>
    <w:rsid w:val="351340E9"/>
    <w:rsid w:val="39175EE9"/>
    <w:rsid w:val="3AAD67BD"/>
    <w:rsid w:val="3EE76EDE"/>
    <w:rsid w:val="4B5A5F13"/>
    <w:rsid w:val="4C6F76D4"/>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206</Words>
  <Characters>1175</Characters>
  <Lines>9</Lines>
  <Paragraphs>2</Paragraphs>
  <TotalTime>0</TotalTime>
  <ScaleCrop>false</ScaleCrop>
  <LinksUpToDate>false</LinksUpToDate>
  <CharactersWithSpaces>1379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2018-04-12T02:22:17Z</dcterms:modified>
  <dc:title>2016年</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