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r>
        <w:rPr>
          <w:rFonts w:ascii="方正小标宋简体" w:hAnsi="方正小标宋简体" w:eastAsia="方正小标宋简体" w:cs="方正小标宋简体"/>
          <w:sz w:val="84"/>
          <w:szCs w:val="84"/>
        </w:rPr>
        <w:t>2016</w:t>
      </w:r>
      <w:r>
        <w:rPr>
          <w:rFonts w:hint="eastAsia" w:ascii="方正小标宋简体" w:hAnsi="方正小标宋简体" w:eastAsia="方正小标宋简体" w:cs="方正小标宋简体"/>
          <w:sz w:val="84"/>
          <w:szCs w:val="84"/>
        </w:rPr>
        <w:t>年</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lang w:eastAsia="zh-CN"/>
        </w:rPr>
        <w:t>湛江市</w:t>
      </w:r>
      <w:r>
        <w:rPr>
          <w:rFonts w:hint="eastAsia" w:ascii="方正小标宋简体" w:hAnsi="方正小标宋简体" w:eastAsia="方正小标宋简体" w:cs="方正小标宋简体"/>
          <w:sz w:val="84"/>
          <w:szCs w:val="84"/>
        </w:rPr>
        <w:t>第二十七小学</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rPr>
        <w:t>部门预算</w:t>
      </w: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目</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录</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第一部分</w:t>
      </w:r>
      <w:r>
        <w:rPr>
          <w:rFonts w:ascii="黑体" w:hAnsi="黑体" w:eastAsia="黑体" w:cs="黑体"/>
          <w:sz w:val="32"/>
          <w:szCs w:val="32"/>
        </w:rPr>
        <w:t xml:space="preserve">   2016 </w:t>
      </w:r>
      <w:r>
        <w:rPr>
          <w:rFonts w:hint="eastAsia" w:ascii="黑体" w:hAnsi="黑体" w:eastAsia="黑体" w:cs="黑体"/>
          <w:sz w:val="32"/>
          <w:szCs w:val="32"/>
        </w:rPr>
        <w:t>年</w:t>
      </w:r>
      <w:r>
        <w:rPr>
          <w:rFonts w:hint="eastAsia" w:ascii="黑体" w:hAnsi="黑体" w:eastAsia="黑体" w:cs="黑体"/>
          <w:sz w:val="32"/>
          <w:szCs w:val="32"/>
          <w:lang w:eastAsia="zh-CN"/>
        </w:rPr>
        <w:t>湛江市</w:t>
      </w:r>
      <w:r>
        <w:rPr>
          <w:rFonts w:hint="eastAsia" w:ascii="黑体" w:hAnsi="黑体" w:eastAsia="黑体" w:cs="黑体"/>
          <w:sz w:val="32"/>
          <w:szCs w:val="32"/>
        </w:rPr>
        <w:t>第二十七小学部门预算基本情况说明</w:t>
      </w:r>
    </w:p>
    <w:p>
      <w:pPr>
        <w:keepNext w:val="0"/>
        <w:keepLines w:val="0"/>
        <w:pageBreakBefore w:val="0"/>
        <w:numPr>
          <w:ilvl w:val="0"/>
          <w:numId w:val="1"/>
        </w:numPr>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部门基本情况</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（一）主要职责</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（二）机构设置</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二、收入预算说明</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三、支出预算说明</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三公</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经费说明</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五、预算收支增减变化情况说明</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六、其他需要说明的情况</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（一）机关运行经费情况</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（二）政府采购安排情况</w:t>
      </w:r>
    </w:p>
    <w:p>
      <w:pPr>
        <w:keepNext w:val="0"/>
        <w:keepLines w:val="0"/>
        <w:pageBreakBefore w:val="0"/>
        <w:numPr>
          <w:ilvl w:val="0"/>
          <w:numId w:val="2"/>
        </w:numPr>
        <w:kinsoku/>
        <w:wordWrap/>
        <w:overflowPunct/>
        <w:topLinePunct w:val="0"/>
        <w:autoSpaceDE/>
        <w:autoSpaceDN/>
        <w:bidi w:val="0"/>
        <w:adjustRightInd/>
        <w:spacing w:line="500" w:lineRule="exact"/>
        <w:ind w:left="0" w:leftChars="0" w:right="0" w:rightChars="0" w:firstLine="1280" w:firstLineChars="4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国有资产占有使用情况</w:t>
      </w:r>
    </w:p>
    <w:p>
      <w:pPr>
        <w:keepNext w:val="0"/>
        <w:keepLines w:val="0"/>
        <w:pageBreakBefore w:val="0"/>
        <w:numPr>
          <w:ilvl w:val="0"/>
          <w:numId w:val="2"/>
        </w:numPr>
        <w:kinsoku/>
        <w:wordWrap/>
        <w:overflowPunct/>
        <w:topLinePunct w:val="0"/>
        <w:autoSpaceDE/>
        <w:autoSpaceDN/>
        <w:bidi w:val="0"/>
        <w:adjustRightInd/>
        <w:spacing w:line="500" w:lineRule="exact"/>
        <w:ind w:left="0" w:leftChars="0" w:right="0" w:rightChars="0" w:firstLine="1280" w:firstLineChars="4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重点项目预算绩效目标设置情况</w:t>
      </w:r>
    </w:p>
    <w:p>
      <w:pPr>
        <w:keepNext w:val="0"/>
        <w:keepLines w:val="0"/>
        <w:pageBreakBefore w:val="0"/>
        <w:kinsoku/>
        <w:wordWrap/>
        <w:overflowPunct/>
        <w:topLinePunct w:val="0"/>
        <w:autoSpaceDE/>
        <w:autoSpaceDN/>
        <w:bidi w:val="0"/>
        <w:adjustRightInd/>
        <w:spacing w:line="500" w:lineRule="exact"/>
        <w:ind w:left="0" w:leftChars="0" w:right="0" w:rightChars="0" w:firstLine="1280" w:firstLineChars="4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（五）专业名词解释</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第二部分</w:t>
      </w:r>
      <w:r>
        <w:rPr>
          <w:rFonts w:ascii="黑体" w:hAnsi="黑体" w:eastAsia="黑体" w:cs="黑体"/>
          <w:sz w:val="32"/>
          <w:szCs w:val="32"/>
        </w:rPr>
        <w:t xml:space="preserve">    2016 </w:t>
      </w:r>
      <w:r>
        <w:rPr>
          <w:rFonts w:hint="eastAsia" w:ascii="黑体" w:hAnsi="黑体" w:eastAsia="黑体" w:cs="黑体"/>
          <w:sz w:val="32"/>
          <w:szCs w:val="32"/>
        </w:rPr>
        <w:t>年</w:t>
      </w:r>
      <w:r>
        <w:rPr>
          <w:rFonts w:hint="eastAsia" w:ascii="黑体" w:hAnsi="黑体" w:eastAsia="黑体" w:cs="黑体"/>
          <w:sz w:val="32"/>
          <w:szCs w:val="32"/>
          <w:lang w:eastAsia="zh-CN"/>
        </w:rPr>
        <w:t>湛江市</w:t>
      </w:r>
      <w:r>
        <w:rPr>
          <w:rFonts w:hint="eastAsia" w:ascii="黑体" w:hAnsi="黑体" w:eastAsia="黑体" w:cs="黑体"/>
          <w:sz w:val="32"/>
          <w:szCs w:val="32"/>
        </w:rPr>
        <w:t>第二十七小学部门预算表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年财政拨款收支总表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年一般公共预算基本支出表（部门经济分类）</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年一般公共预算“三公”经费支出表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年政府性基金预算支出表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六、</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年部门收支总表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七、</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年部门收入表</w:t>
      </w:r>
    </w:p>
    <w:p>
      <w:pPr>
        <w:keepNext w:val="0"/>
        <w:keepLines w:val="0"/>
        <w:pageBreakBefore w:val="0"/>
        <w:widowControl/>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年部门支出表</w:t>
      </w:r>
    </w:p>
    <w:p>
      <w:pPr>
        <w:spacing w:line="360" w:lineRule="auto"/>
        <w:jc w:val="center"/>
        <w:rPr>
          <w:rFonts w:ascii="宋体"/>
          <w:b/>
          <w:sz w:val="44"/>
          <w:szCs w:val="44"/>
        </w:rPr>
      </w:pPr>
      <w:r>
        <w:rPr>
          <w:rFonts w:ascii="宋体" w:hAnsi="宋体"/>
          <w:b/>
          <w:sz w:val="44"/>
          <w:szCs w:val="44"/>
        </w:rPr>
        <w:t>2016</w:t>
      </w:r>
      <w:r>
        <w:rPr>
          <w:rFonts w:hint="eastAsia" w:ascii="宋体" w:hAnsi="宋体"/>
          <w:b/>
          <w:sz w:val="44"/>
          <w:szCs w:val="44"/>
        </w:rPr>
        <w:t>年</w:t>
      </w:r>
      <w:r>
        <w:rPr>
          <w:rFonts w:hint="eastAsia" w:ascii="宋体" w:hAnsi="宋体"/>
          <w:b/>
          <w:sz w:val="44"/>
          <w:szCs w:val="44"/>
          <w:lang w:eastAsia="zh-CN"/>
        </w:rPr>
        <w:t>湛江市</w:t>
      </w:r>
      <w:r>
        <w:rPr>
          <w:rFonts w:hint="eastAsia" w:ascii="宋体" w:hAnsi="宋体"/>
          <w:b/>
          <w:sz w:val="44"/>
          <w:szCs w:val="44"/>
        </w:rPr>
        <w:t>第二十七小学预算情况说明</w:t>
      </w:r>
    </w:p>
    <w:p>
      <w:pPr>
        <w:spacing w:line="360" w:lineRule="auto"/>
        <w:jc w:val="center"/>
        <w:rPr>
          <w:rFonts w:ascii="宋体"/>
          <w:b/>
          <w:bCs/>
          <w:sz w:val="36"/>
          <w:szCs w:val="36"/>
        </w:rPr>
      </w:pPr>
    </w:p>
    <w:p>
      <w:pPr>
        <w:spacing w:line="360" w:lineRule="auto"/>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一、部门基本情况</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（一）主要职责</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湛江市第二十七小学是全日制公办小学。主要职能是为国家培养人才，教育入学儿童。</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（二）机构设置</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我校为独立核算单位</w:t>
      </w:r>
      <w:r>
        <w:rPr>
          <w:rFonts w:ascii="仿宋_GB2312" w:hAnsi="仿宋_GB2312" w:eastAsia="仿宋_GB2312" w:cs="仿宋_GB2312"/>
          <w:spacing w:val="-10"/>
          <w:sz w:val="32"/>
          <w:szCs w:val="32"/>
        </w:rPr>
        <w:t>1</w:t>
      </w:r>
      <w:r>
        <w:rPr>
          <w:rFonts w:hint="eastAsia" w:ascii="仿宋_GB2312" w:hAnsi="仿宋_GB2312" w:eastAsia="仿宋_GB2312" w:cs="仿宋_GB2312"/>
          <w:spacing w:val="-10"/>
          <w:sz w:val="32"/>
          <w:szCs w:val="32"/>
        </w:rPr>
        <w:t>个</w:t>
      </w:r>
      <w:r>
        <w:rPr>
          <w:rFonts w:ascii="仿宋_GB2312" w:hAnsi="仿宋_GB2312" w:eastAsia="仿宋_GB2312" w:cs="仿宋_GB2312"/>
          <w:spacing w:val="-10"/>
          <w:sz w:val="32"/>
          <w:szCs w:val="32"/>
        </w:rPr>
        <w:t>,</w:t>
      </w:r>
      <w:r>
        <w:rPr>
          <w:rFonts w:hint="eastAsia" w:ascii="仿宋_GB2312" w:hAnsi="仿宋_GB2312" w:eastAsia="仿宋_GB2312" w:cs="仿宋_GB2312"/>
          <w:spacing w:val="-10"/>
          <w:sz w:val="32"/>
          <w:szCs w:val="32"/>
        </w:rPr>
        <w:t>设教务处、政教处、总务处、办公室等。</w:t>
      </w:r>
    </w:p>
    <w:p>
      <w:pPr>
        <w:spacing w:line="500" w:lineRule="exact"/>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二、收入预算说明</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年预算收入</w:t>
      </w:r>
      <w:r>
        <w:rPr>
          <w:rFonts w:ascii="仿宋_GB2312" w:hAnsi="仿宋_GB2312" w:eastAsia="仿宋_GB2312" w:cs="仿宋_GB2312"/>
          <w:sz w:val="32"/>
          <w:szCs w:val="32"/>
        </w:rPr>
        <w:t>1422.55</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233.69</w:t>
      </w:r>
      <w:r>
        <w:rPr>
          <w:rFonts w:hint="eastAsia" w:ascii="仿宋_GB2312" w:hAnsi="仿宋_GB2312" w:eastAsia="仿宋_GB2312" w:cs="仿宋_GB2312"/>
          <w:sz w:val="32"/>
          <w:szCs w:val="32"/>
        </w:rPr>
        <w:t>万元。增加19.66%，增加的</w:t>
      </w:r>
      <w:bookmarkStart w:id="0" w:name="_GoBack"/>
      <w:bookmarkEnd w:id="0"/>
      <w:r>
        <w:rPr>
          <w:rFonts w:hint="eastAsia" w:ascii="仿宋_GB2312" w:hAnsi="仿宋_GB2312" w:eastAsia="仿宋_GB2312" w:cs="仿宋_GB2312"/>
          <w:sz w:val="32"/>
          <w:szCs w:val="32"/>
        </w:rPr>
        <w:t>原因的由于工资福利支出和对个人和家庭的补助及一般商品和服务支出增加。其中：预算经费安排拨款</w:t>
      </w:r>
      <w:r>
        <w:rPr>
          <w:rFonts w:ascii="仿宋_GB2312" w:hAnsi="仿宋_GB2312" w:eastAsia="仿宋_GB2312" w:cs="仿宋_GB2312"/>
          <w:sz w:val="32"/>
          <w:szCs w:val="32"/>
        </w:rPr>
        <w:t>1422.55</w:t>
      </w:r>
      <w:r>
        <w:rPr>
          <w:rFonts w:hint="eastAsia" w:ascii="仿宋_GB2312" w:hAnsi="仿宋_GB2312" w:eastAsia="仿宋_GB2312" w:cs="仿宋_GB2312"/>
          <w:sz w:val="32"/>
          <w:szCs w:val="32"/>
        </w:rPr>
        <w:t>万元，其他非税收入安排拨款</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三、支出预算说明</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年支出预算</w:t>
      </w:r>
      <w:r>
        <w:rPr>
          <w:rFonts w:ascii="仿宋_GB2312" w:hAnsi="仿宋_GB2312" w:eastAsia="仿宋_GB2312" w:cs="仿宋_GB2312"/>
          <w:sz w:val="32"/>
          <w:szCs w:val="32"/>
        </w:rPr>
        <w:t>1422.55</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233.69</w:t>
      </w:r>
      <w:r>
        <w:rPr>
          <w:rFonts w:hint="eastAsia" w:ascii="仿宋_GB2312" w:hAnsi="仿宋_GB2312" w:eastAsia="仿宋_GB2312" w:cs="仿宋_GB2312"/>
          <w:sz w:val="32"/>
          <w:szCs w:val="32"/>
        </w:rPr>
        <w:t>万元。增加19.66%，增加的原因的由于工资福利支出和对个人和家庭的补助及一般商品和服务支出增加。</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支出按经济分类划分：</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、基本支出预算</w:t>
      </w:r>
      <w:r>
        <w:rPr>
          <w:rFonts w:ascii="仿宋_GB2312" w:hAnsi="仿宋_GB2312" w:eastAsia="仿宋_GB2312" w:cs="仿宋_GB2312"/>
          <w:sz w:val="32"/>
          <w:szCs w:val="32"/>
        </w:rPr>
        <w:t>1,422.55</w:t>
      </w:r>
      <w:r>
        <w:rPr>
          <w:rFonts w:hint="eastAsia" w:ascii="仿宋_GB2312" w:hAnsi="仿宋_GB2312" w:eastAsia="仿宋_GB2312" w:cs="仿宋_GB2312"/>
          <w:sz w:val="32"/>
          <w:szCs w:val="32"/>
        </w:rPr>
        <w:t>万元，其中：工资福利支出</w:t>
      </w:r>
      <w:r>
        <w:rPr>
          <w:rFonts w:ascii="仿宋_GB2312" w:hAnsi="仿宋_GB2312" w:eastAsia="仿宋_GB2312" w:cs="仿宋_GB2312"/>
          <w:sz w:val="32"/>
          <w:szCs w:val="32"/>
        </w:rPr>
        <w:t>950.85</w:t>
      </w:r>
      <w:r>
        <w:rPr>
          <w:rFonts w:hint="eastAsia" w:ascii="仿宋_GB2312" w:hAnsi="仿宋_GB2312" w:eastAsia="仿宋_GB2312" w:cs="仿宋_GB2312"/>
          <w:sz w:val="32"/>
          <w:szCs w:val="32"/>
        </w:rPr>
        <w:t>万元，一般商品和服务支出</w:t>
      </w:r>
      <w:r>
        <w:rPr>
          <w:rFonts w:ascii="仿宋_GB2312" w:hAnsi="仿宋_GB2312" w:eastAsia="仿宋_GB2312" w:cs="仿宋_GB2312"/>
          <w:sz w:val="32"/>
          <w:szCs w:val="32"/>
        </w:rPr>
        <w:t>327.98</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t xml:space="preserve"> </w:t>
      </w:r>
      <w:r>
        <w:rPr>
          <w:rFonts w:hint="eastAsia" w:ascii="仿宋_GB2312" w:hAnsi="仿宋_GB2312" w:eastAsia="仿宋_GB2312" w:cs="仿宋_GB2312"/>
          <w:sz w:val="32"/>
          <w:szCs w:val="32"/>
        </w:rPr>
        <w:t>对个人和家庭的补助支出</w:t>
      </w:r>
      <w:r>
        <w:rPr>
          <w:rFonts w:ascii="仿宋_GB2312" w:hAnsi="仿宋_GB2312" w:eastAsia="仿宋_GB2312" w:cs="仿宋_GB2312"/>
          <w:sz w:val="32"/>
          <w:szCs w:val="32"/>
        </w:rPr>
        <w:t>143.72</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、项目支出预算</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四、“三公经费”说明</w:t>
      </w:r>
    </w:p>
    <w:p>
      <w:pPr>
        <w:ind w:firstLine="600" w:firstLineChars="200"/>
        <w:rPr>
          <w:rFonts w:ascii="宋体" w:hAnsi="宋体"/>
          <w:sz w:val="32"/>
          <w:szCs w:val="32"/>
        </w:rPr>
      </w:pPr>
      <w:r>
        <w:rPr>
          <w:rFonts w:hint="eastAsia" w:ascii="仿宋_GB2312" w:hAnsi="宋体" w:eastAsia="仿宋_GB2312"/>
          <w:sz w:val="30"/>
          <w:szCs w:val="30"/>
        </w:rPr>
        <w:t>2016</w:t>
      </w:r>
      <w:r>
        <w:rPr>
          <w:rFonts w:hint="eastAsia" w:ascii="仿宋_GB2312" w:hAnsi="Calibri" w:eastAsia="仿宋_GB2312"/>
          <w:sz w:val="30"/>
          <w:szCs w:val="30"/>
        </w:rPr>
        <w:t>年“三公经费”预算安排共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lang w:val="en-US" w:eastAsia="zh-CN"/>
        </w:rPr>
        <w:t>,其中</w:t>
      </w:r>
      <w:r>
        <w:rPr>
          <w:rFonts w:hint="eastAsia" w:ascii="仿宋_GB2312" w:hAnsi="Calibri" w:eastAsia="仿宋_GB2312"/>
          <w:sz w:val="30"/>
          <w:szCs w:val="30"/>
        </w:rPr>
        <w:t>：因公出国（境）费预算安排0万元，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。公务用车购置及运行维护费预算安排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。公务接待费预算安排0万元</w:t>
      </w:r>
      <w:r>
        <w:rPr>
          <w:rFonts w:hint="eastAsia" w:ascii="仿宋_GB2312" w:hAnsi="Calibri" w:eastAsia="仿宋_GB2312"/>
          <w:sz w:val="30"/>
          <w:szCs w:val="30"/>
          <w:lang w:val="en-US" w:eastAsia="zh-CN"/>
        </w:rPr>
        <w:t>,</w:t>
      </w:r>
      <w:r>
        <w:rPr>
          <w:rFonts w:hint="eastAsia" w:ascii="仿宋_GB2312" w:hAnsi="Calibri" w:eastAsia="仿宋_GB2312"/>
          <w:sz w:val="30"/>
          <w:szCs w:val="30"/>
          <w:lang w:eastAsia="zh-CN"/>
        </w:rPr>
        <w:t>与上年持平</w:t>
      </w:r>
      <w:r>
        <w:rPr>
          <w:rFonts w:hint="eastAsia" w:ascii="宋体" w:hAnsi="宋体"/>
          <w:sz w:val="32"/>
          <w:szCs w:val="32"/>
        </w:rPr>
        <w:t>。</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五、其他需要说明的情况</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（一）关于“机关运行经费”支出的说明</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本部门为事业单位，无“机关运行经费”。</w:t>
      </w:r>
    </w:p>
    <w:p>
      <w:pPr>
        <w:ind w:firstLine="600" w:firstLineChars="200"/>
        <w:rPr>
          <w:rFonts w:ascii="仿宋_GB2312" w:hAnsi="仿宋_GB2312" w:eastAsia="仿宋_GB2312" w:cs="仿宋_GB2312"/>
          <w:b/>
          <w:sz w:val="32"/>
          <w:szCs w:val="32"/>
        </w:rPr>
      </w:pPr>
      <w:r>
        <w:rPr>
          <w:rFonts w:hint="eastAsia" w:ascii="仿宋_GB2312" w:hAnsi="仿宋_GB2312" w:eastAsia="仿宋_GB2312" w:cs="仿宋_GB2312"/>
          <w:spacing w:val="-10"/>
          <w:sz w:val="32"/>
          <w:szCs w:val="32"/>
        </w:rPr>
        <w:t>（二）</w:t>
      </w:r>
      <w:r>
        <w:rPr>
          <w:rFonts w:hint="eastAsia" w:ascii="仿宋_GB2312" w:hAnsi="仿宋_GB2312" w:eastAsia="仿宋_GB2312" w:cs="仿宋_GB2312"/>
          <w:b/>
          <w:sz w:val="32"/>
          <w:szCs w:val="32"/>
        </w:rPr>
        <w:t>关于政府采购支出说明：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政府采购安排为零。</w:t>
      </w:r>
    </w:p>
    <w:p>
      <w:pPr>
        <w:spacing w:line="580" w:lineRule="exact"/>
        <w:ind w:firstLine="602"/>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（三）</w:t>
      </w:r>
      <w:r>
        <w:rPr>
          <w:rFonts w:hint="eastAsia" w:ascii="仿宋_GB2312" w:hAnsi="仿宋_GB2312" w:eastAsia="仿宋_GB2312" w:cs="仿宋_GB2312"/>
          <w:b/>
          <w:bCs/>
          <w:sz w:val="32"/>
          <w:szCs w:val="32"/>
        </w:rPr>
        <w:t>国有资产占有使用情况</w:t>
      </w: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2015</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日，本部门国有资产总额为2039.41万元。</w:t>
      </w:r>
    </w:p>
    <w:p>
      <w:pPr>
        <w:spacing w:line="580" w:lineRule="exact"/>
        <w:ind w:firstLine="602"/>
        <w:rPr>
          <w:rFonts w:ascii="仿宋_GB2312" w:hAnsi="仿宋_GB2312" w:eastAsia="仿宋_GB2312" w:cs="仿宋_GB2312"/>
          <w:sz w:val="32"/>
          <w:szCs w:val="32"/>
        </w:rPr>
      </w:pPr>
      <w:r>
        <w:rPr>
          <w:rFonts w:hint="eastAsia" w:ascii="仿宋_GB2312" w:hAnsi="仿宋_GB2312" w:eastAsia="仿宋_GB2312" w:cs="仿宋_GB2312"/>
          <w:sz w:val="32"/>
          <w:szCs w:val="32"/>
        </w:rPr>
        <w:t>本部门共有车辆</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辆，单位价值20万元以上大型设备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w:t>
      </w:r>
    </w:p>
    <w:p>
      <w:pPr>
        <w:spacing w:line="500" w:lineRule="exact"/>
        <w:ind w:firstLine="600" w:firstLineChars="200"/>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（四）</w:t>
      </w:r>
      <w:r>
        <w:rPr>
          <w:rFonts w:hint="eastAsia" w:ascii="仿宋_GB2312" w:hAnsi="仿宋_GB2312" w:eastAsia="仿宋_GB2312" w:cs="仿宋_GB2312"/>
          <w:b/>
          <w:bCs/>
          <w:sz w:val="32"/>
          <w:szCs w:val="32"/>
        </w:rPr>
        <w:t>重点项目预算绩效目标设置情况</w:t>
      </w:r>
      <w:r>
        <w:rPr>
          <w:rFonts w:hint="eastAsia" w:ascii="仿宋_GB2312" w:hAnsi="仿宋_GB2312" w:eastAsia="仿宋_GB2312" w:cs="仿宋_GB2312"/>
          <w:sz w:val="32"/>
          <w:szCs w:val="32"/>
        </w:rPr>
        <w:t>：无</w:t>
      </w:r>
    </w:p>
    <w:p>
      <w:pPr>
        <w:widowControl/>
        <w:shd w:val="clear" w:color="auto" w:fill="FFFFFF"/>
        <w:spacing w:line="500" w:lineRule="atLeast"/>
        <w:ind w:firstLine="630"/>
        <w:rPr>
          <w:rFonts w:ascii="仿宋_GB2312" w:hAnsi="仿宋_GB2312" w:eastAsia="仿宋_GB2312" w:cs="仿宋_GB2312"/>
          <w:color w:val="000000"/>
          <w:sz w:val="32"/>
          <w:szCs w:val="32"/>
        </w:rPr>
      </w:pPr>
      <w:r>
        <w:rPr>
          <w:rFonts w:hint="eastAsia" w:ascii="仿宋_GB2312" w:hAnsi="仿宋_GB2312" w:eastAsia="仿宋_GB2312" w:cs="仿宋_GB2312"/>
          <w:spacing w:val="-10"/>
          <w:sz w:val="32"/>
          <w:szCs w:val="32"/>
        </w:rPr>
        <w:t>（五）</w:t>
      </w:r>
      <w:r>
        <w:rPr>
          <w:rFonts w:hint="eastAsia" w:ascii="仿宋_GB2312" w:hAnsi="仿宋_GB2312" w:eastAsia="仿宋_GB2312" w:cs="仿宋_GB2312"/>
          <w:b/>
          <w:bCs/>
          <w:color w:val="000000"/>
          <w:kern w:val="0"/>
          <w:sz w:val="32"/>
          <w:szCs w:val="32"/>
          <w:shd w:val="clear" w:color="auto" w:fill="FFFFFF"/>
        </w:rPr>
        <w:t>专业性较强的名词解释</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kern w:val="0"/>
          <w:sz w:val="32"/>
          <w:szCs w:val="32"/>
          <w:shd w:val="clear" w:color="auto" w:fill="FFFFFF"/>
        </w:rPr>
        <w:t>无。</w:t>
      </w:r>
    </w:p>
    <w:p>
      <w:pPr>
        <w:spacing w:line="500" w:lineRule="exact"/>
        <w:rPr>
          <w:rFonts w:ascii="仿宋_GB2312" w:hAnsi="仿宋_GB2312" w:eastAsia="仿宋_GB2312" w:cs="仿宋_GB2312"/>
          <w:sz w:val="32"/>
          <w:szCs w:val="32"/>
        </w:rPr>
      </w:pPr>
    </w:p>
    <w:sectPr>
      <w:head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0DB23"/>
    <w:multiLevelType w:val="singleLevel"/>
    <w:tmpl w:val="5AB0DB23"/>
    <w:lvl w:ilvl="0" w:tentative="0">
      <w:start w:val="1"/>
      <w:numFmt w:val="chineseCounting"/>
      <w:suff w:val="nothing"/>
      <w:lvlText w:val="%1、"/>
      <w:lvlJc w:val="left"/>
      <w:rPr>
        <w:rFonts w:cs="Times New Roman"/>
      </w:rPr>
    </w:lvl>
  </w:abstractNum>
  <w:abstractNum w:abstractNumId="1">
    <w:nsid w:val="5AB0DC21"/>
    <w:multiLevelType w:val="singleLevel"/>
    <w:tmpl w:val="5AB0DC21"/>
    <w:lvl w:ilvl="0" w:tentative="0">
      <w:start w:val="3"/>
      <w:numFmt w:val="chineseCounting"/>
      <w:suff w:val="nothing"/>
      <w:lvlText w:val="（%1）"/>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14F0"/>
    <w:rsid w:val="000365A0"/>
    <w:rsid w:val="00041B48"/>
    <w:rsid w:val="000436EA"/>
    <w:rsid w:val="000C08A2"/>
    <w:rsid w:val="000D1AD5"/>
    <w:rsid w:val="00101364"/>
    <w:rsid w:val="00111D57"/>
    <w:rsid w:val="00145334"/>
    <w:rsid w:val="001831C0"/>
    <w:rsid w:val="0019167A"/>
    <w:rsid w:val="001A760E"/>
    <w:rsid w:val="001B44F1"/>
    <w:rsid w:val="00236A06"/>
    <w:rsid w:val="00266742"/>
    <w:rsid w:val="00280BC7"/>
    <w:rsid w:val="0028591B"/>
    <w:rsid w:val="002E6A6D"/>
    <w:rsid w:val="003039DD"/>
    <w:rsid w:val="003164F1"/>
    <w:rsid w:val="003304DA"/>
    <w:rsid w:val="00351DA6"/>
    <w:rsid w:val="00360035"/>
    <w:rsid w:val="0038115A"/>
    <w:rsid w:val="003D5742"/>
    <w:rsid w:val="00425E92"/>
    <w:rsid w:val="00467D47"/>
    <w:rsid w:val="0048633A"/>
    <w:rsid w:val="004956D7"/>
    <w:rsid w:val="004A57B4"/>
    <w:rsid w:val="004D4EFB"/>
    <w:rsid w:val="004D7796"/>
    <w:rsid w:val="004E3B1F"/>
    <w:rsid w:val="00540747"/>
    <w:rsid w:val="00552EC5"/>
    <w:rsid w:val="005F088B"/>
    <w:rsid w:val="005F4CEA"/>
    <w:rsid w:val="0065390B"/>
    <w:rsid w:val="00665873"/>
    <w:rsid w:val="0066604A"/>
    <w:rsid w:val="00691C5E"/>
    <w:rsid w:val="006974DC"/>
    <w:rsid w:val="006C2A44"/>
    <w:rsid w:val="006F346E"/>
    <w:rsid w:val="00704AA5"/>
    <w:rsid w:val="00741CE3"/>
    <w:rsid w:val="00753CB4"/>
    <w:rsid w:val="0076087A"/>
    <w:rsid w:val="007C0EDA"/>
    <w:rsid w:val="007C3F3F"/>
    <w:rsid w:val="007E2506"/>
    <w:rsid w:val="00805EA0"/>
    <w:rsid w:val="00835A16"/>
    <w:rsid w:val="00863ECF"/>
    <w:rsid w:val="00895A57"/>
    <w:rsid w:val="008A0BA9"/>
    <w:rsid w:val="00915D64"/>
    <w:rsid w:val="00916055"/>
    <w:rsid w:val="00921D23"/>
    <w:rsid w:val="00931F2D"/>
    <w:rsid w:val="00941B91"/>
    <w:rsid w:val="009750A6"/>
    <w:rsid w:val="009914C4"/>
    <w:rsid w:val="009A06ED"/>
    <w:rsid w:val="009A74C9"/>
    <w:rsid w:val="009D02BF"/>
    <w:rsid w:val="00A40917"/>
    <w:rsid w:val="00A52225"/>
    <w:rsid w:val="00A5433C"/>
    <w:rsid w:val="00A94C88"/>
    <w:rsid w:val="00AA5328"/>
    <w:rsid w:val="00AB0476"/>
    <w:rsid w:val="00AB1817"/>
    <w:rsid w:val="00B21EE0"/>
    <w:rsid w:val="00B348C9"/>
    <w:rsid w:val="00B536D9"/>
    <w:rsid w:val="00B66D2C"/>
    <w:rsid w:val="00C019E2"/>
    <w:rsid w:val="00C1380C"/>
    <w:rsid w:val="00C36840"/>
    <w:rsid w:val="00C7439B"/>
    <w:rsid w:val="00C93045"/>
    <w:rsid w:val="00C942BE"/>
    <w:rsid w:val="00CB4CA5"/>
    <w:rsid w:val="00CB6767"/>
    <w:rsid w:val="00CE621D"/>
    <w:rsid w:val="00CF4F75"/>
    <w:rsid w:val="00D33A64"/>
    <w:rsid w:val="00D714F0"/>
    <w:rsid w:val="00D7508F"/>
    <w:rsid w:val="00DB7182"/>
    <w:rsid w:val="00DC1301"/>
    <w:rsid w:val="00E01817"/>
    <w:rsid w:val="00E15A50"/>
    <w:rsid w:val="00E235BE"/>
    <w:rsid w:val="00E314A4"/>
    <w:rsid w:val="00E32EBC"/>
    <w:rsid w:val="00E616F0"/>
    <w:rsid w:val="00E67FCC"/>
    <w:rsid w:val="00E871B5"/>
    <w:rsid w:val="00ED5DF9"/>
    <w:rsid w:val="00F41C4C"/>
    <w:rsid w:val="00F56510"/>
    <w:rsid w:val="00FA029D"/>
    <w:rsid w:val="00FA1132"/>
    <w:rsid w:val="00FD01FA"/>
    <w:rsid w:val="01FF58AD"/>
    <w:rsid w:val="07A7375C"/>
    <w:rsid w:val="0C7F7266"/>
    <w:rsid w:val="140D37EA"/>
    <w:rsid w:val="17912F0C"/>
    <w:rsid w:val="1ED47A76"/>
    <w:rsid w:val="1F23417E"/>
    <w:rsid w:val="26BC50DA"/>
    <w:rsid w:val="318D2FEA"/>
    <w:rsid w:val="342D59CB"/>
    <w:rsid w:val="351340E9"/>
    <w:rsid w:val="39175EE9"/>
    <w:rsid w:val="3AAD67BD"/>
    <w:rsid w:val="3EE76EDE"/>
    <w:rsid w:val="4B5A5F13"/>
    <w:rsid w:val="51B91EF3"/>
    <w:rsid w:val="54C553FD"/>
    <w:rsid w:val="57FF7216"/>
    <w:rsid w:val="5CAA4FF9"/>
    <w:rsid w:val="5CD425A9"/>
    <w:rsid w:val="60AE5E65"/>
    <w:rsid w:val="6F06301C"/>
    <w:rsid w:val="761C7AEC"/>
    <w:rsid w:val="76B725E4"/>
    <w:rsid w:val="7BEC2F5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页脚 Char"/>
    <w:basedOn w:val="4"/>
    <w:link w:val="2"/>
    <w:qFormat/>
    <w:locked/>
    <w:uiPriority w:val="99"/>
    <w:rPr>
      <w:rFonts w:ascii="Times New Roman" w:hAnsi="Times New Roman" w:eastAsia="宋体" w:cs="Times New Roman"/>
      <w:sz w:val="18"/>
      <w:szCs w:val="18"/>
    </w:rPr>
  </w:style>
  <w:style w:type="character" w:customStyle="1" w:styleId="8">
    <w:name w:val="页眉 Char"/>
    <w:basedOn w:val="4"/>
    <w:link w:val="3"/>
    <w:qFormat/>
    <w:locked/>
    <w:uiPriority w:val="99"/>
    <w:rPr>
      <w:rFonts w:ascii="Times New Roman" w:hAnsi="Times New Roman" w:eastAsia="宋体" w:cs="Times New Roman"/>
      <w:sz w:val="18"/>
      <w:szCs w:val="18"/>
    </w:rPr>
  </w:style>
  <w:style w:type="paragraph" w:customStyle="1" w:styleId="9">
    <w:name w:val="p0"/>
    <w:basedOn w:val="1"/>
    <w:qFormat/>
    <w:uiPriority w:val="99"/>
    <w:pPr>
      <w:widowControl/>
      <w:ind w:firstLine="420"/>
      <w:jc w:val="left"/>
    </w:pPr>
    <w:rPr>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202</Words>
  <Characters>1152</Characters>
  <Lines>9</Lines>
  <Paragraphs>2</Paragraphs>
  <ScaleCrop>false</ScaleCrop>
  <LinksUpToDate>false</LinksUpToDate>
  <CharactersWithSpaces>1352</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2018-03-29T10:32:00Z</dcterms:created>
  <dc:creator>Administrator</dc:creator>
  <cp:lastModifiedBy>Administrator</cp:lastModifiedBy>
  <dcterms:modified xsi:type="dcterms:W3CDTF">2018-04-12T02:23:40Z</dcterms:modified>
  <dc:title>2016年</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