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outlineLvl w:val="9"/>
        <w:rPr>
          <w:rFonts w:hint="eastAsia" w:ascii="方正小标宋_GBK" w:hAnsi="方正小标宋_GBK" w:eastAsia="方正小标宋_GBK" w:cs="方正小标宋_GBK"/>
          <w:i w:val="0"/>
          <w:color w:val="000000"/>
          <w:kern w:val="0"/>
          <w:sz w:val="44"/>
          <w:szCs w:val="44"/>
          <w:u w:val="none"/>
          <w:lang w:val="en-US" w:eastAsia="zh-CN" w:bidi="ar"/>
        </w:rPr>
      </w:pPr>
      <w:r>
        <w:rPr>
          <w:rFonts w:hint="eastAsia" w:ascii="方正小标宋_GBK" w:hAnsi="方正小标宋_GBK" w:eastAsia="方正小标宋_GBK" w:cs="方正小标宋_GBK"/>
          <w:i w:val="0"/>
          <w:color w:val="000000"/>
          <w:kern w:val="0"/>
          <w:sz w:val="44"/>
          <w:szCs w:val="44"/>
          <w:u w:val="none"/>
          <w:lang w:val="en-US" w:eastAsia="zh-CN" w:bidi="ar"/>
        </w:rPr>
        <w:t>（十八）城市综合执法领域基层政务公开标准目录</w:t>
      </w:r>
    </w:p>
    <w:tbl>
      <w:tblPr>
        <w:tblStyle w:val="2"/>
        <w:tblW w:w="14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9"/>
        <w:gridCol w:w="580"/>
        <w:gridCol w:w="1812"/>
        <w:gridCol w:w="1866"/>
        <w:gridCol w:w="1172"/>
        <w:gridCol w:w="1344"/>
        <w:gridCol w:w="1751"/>
        <w:gridCol w:w="1640"/>
        <w:gridCol w:w="552"/>
        <w:gridCol w:w="551"/>
        <w:gridCol w:w="898"/>
        <w:gridCol w:w="898"/>
        <w:gridCol w:w="440"/>
        <w:gridCol w:w="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6" w:hRule="atLeast"/>
        </w:trPr>
        <w:tc>
          <w:tcPr>
            <w:tcW w:w="14320" w:type="dxa"/>
            <w:gridSpan w:val="1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outlineLvl w:val="9"/>
              <w:rPr>
                <w:rFonts w:hint="eastAsia" w:asciiTheme="minorEastAsia" w:hAnsiTheme="minorEastAsia" w:eastAsiaTheme="minorEastAsia" w:cstheme="minorEastAsia"/>
                <w:i w:val="0"/>
                <w:color w:val="000000"/>
                <w:sz w:val="18"/>
                <w:szCs w:val="18"/>
                <w:u w:val="none"/>
              </w:rPr>
            </w:pPr>
            <w:bookmarkStart w:id="0" w:name="_GoBack"/>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6" w:hRule="atLeast"/>
        </w:trPr>
        <w:tc>
          <w:tcPr>
            <w:tcW w:w="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序号</w:t>
            </w:r>
          </w:p>
        </w:tc>
        <w:tc>
          <w:tcPr>
            <w:tcW w:w="23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公开事项</w:t>
            </w:r>
          </w:p>
        </w:tc>
        <w:tc>
          <w:tcPr>
            <w:tcW w:w="18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公开内容</w:t>
            </w:r>
          </w:p>
        </w:tc>
        <w:tc>
          <w:tcPr>
            <w:tcW w:w="1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公开依据</w:t>
            </w:r>
          </w:p>
        </w:tc>
        <w:tc>
          <w:tcPr>
            <w:tcW w:w="13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公开</w:t>
            </w:r>
            <w:r>
              <w:rPr>
                <w:rFonts w:hint="eastAsia" w:asciiTheme="minorEastAsia" w:hAnsiTheme="minorEastAsia" w:eastAsiaTheme="minorEastAsia" w:cstheme="minorEastAsia"/>
                <w:b/>
                <w:i w:val="0"/>
                <w:color w:val="000000"/>
                <w:kern w:val="0"/>
                <w:sz w:val="18"/>
                <w:szCs w:val="18"/>
                <w:u w:val="none"/>
                <w:lang w:val="en-US" w:eastAsia="zh-CN" w:bidi="ar"/>
              </w:rPr>
              <w:br w:type="textWrapping"/>
            </w:r>
            <w:r>
              <w:rPr>
                <w:rFonts w:hint="eastAsia" w:asciiTheme="minorEastAsia" w:hAnsiTheme="minorEastAsia" w:eastAsiaTheme="minorEastAsia" w:cstheme="minorEastAsia"/>
                <w:b/>
                <w:i w:val="0"/>
                <w:color w:val="000000"/>
                <w:kern w:val="0"/>
                <w:sz w:val="18"/>
                <w:szCs w:val="18"/>
                <w:u w:val="none"/>
                <w:lang w:val="en-US" w:eastAsia="zh-CN" w:bidi="ar"/>
              </w:rPr>
              <w:t>时限</w:t>
            </w:r>
          </w:p>
        </w:tc>
        <w:tc>
          <w:tcPr>
            <w:tcW w:w="1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公开</w:t>
            </w:r>
            <w:r>
              <w:rPr>
                <w:rFonts w:hint="eastAsia" w:asciiTheme="minorEastAsia" w:hAnsiTheme="minorEastAsia" w:eastAsiaTheme="minorEastAsia" w:cstheme="minorEastAsia"/>
                <w:b/>
                <w:i w:val="0"/>
                <w:color w:val="000000"/>
                <w:kern w:val="0"/>
                <w:sz w:val="18"/>
                <w:szCs w:val="18"/>
                <w:u w:val="none"/>
                <w:lang w:val="en-US" w:eastAsia="zh-CN" w:bidi="ar"/>
              </w:rPr>
              <w:br w:type="textWrapping"/>
            </w:r>
            <w:r>
              <w:rPr>
                <w:rFonts w:hint="eastAsia" w:asciiTheme="minorEastAsia" w:hAnsiTheme="minorEastAsia" w:eastAsiaTheme="minorEastAsia" w:cstheme="minorEastAsia"/>
                <w:b/>
                <w:i w:val="0"/>
                <w:color w:val="000000"/>
                <w:kern w:val="0"/>
                <w:sz w:val="18"/>
                <w:szCs w:val="18"/>
                <w:u w:val="none"/>
                <w:lang w:val="en-US" w:eastAsia="zh-CN" w:bidi="ar"/>
              </w:rPr>
              <w:t>主体</w:t>
            </w:r>
          </w:p>
        </w:tc>
        <w:tc>
          <w:tcPr>
            <w:tcW w:w="1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 xml:space="preserve">   公开渠道和载体                      </w:t>
            </w: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公开对象</w:t>
            </w:r>
          </w:p>
        </w:tc>
        <w:tc>
          <w:tcPr>
            <w:tcW w:w="17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公开方式</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1" w:hRule="atLeast"/>
        </w:trPr>
        <w:tc>
          <w:tcPr>
            <w:tcW w:w="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b/>
                <w:i w:val="0"/>
                <w:color w:val="000000"/>
                <w:sz w:val="18"/>
                <w:szCs w:val="18"/>
                <w:u w:val="none"/>
              </w:rPr>
            </w:pPr>
          </w:p>
        </w:tc>
        <w:tc>
          <w:tcPr>
            <w:tcW w:w="58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一级事项</w:t>
            </w:r>
          </w:p>
        </w:tc>
        <w:tc>
          <w:tcPr>
            <w:tcW w:w="181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二级事项</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b/>
                <w:i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b/>
                <w:i w:val="0"/>
                <w:color w:val="000000"/>
                <w:sz w:val="18"/>
                <w:szCs w:val="18"/>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b/>
                <w:i w:val="0"/>
                <w:color w:val="000000"/>
                <w:sz w:val="18"/>
                <w:szCs w:val="18"/>
                <w:u w:val="none"/>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b/>
                <w:i w:val="0"/>
                <w:color w:val="000000"/>
                <w:sz w:val="18"/>
                <w:szCs w:val="18"/>
                <w:u w:val="none"/>
              </w:rPr>
            </w:pP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Theme="minorEastAsia" w:hAnsiTheme="minorEastAsia" w:eastAsiaTheme="minorEastAsia" w:cstheme="minorEastAsia"/>
                <w:b/>
                <w:i w:val="0"/>
                <w:color w:val="000000"/>
                <w:sz w:val="18"/>
                <w:szCs w:val="18"/>
                <w:u w:val="none"/>
              </w:rPr>
            </w:pPr>
          </w:p>
        </w:tc>
        <w:tc>
          <w:tcPr>
            <w:tcW w:w="552"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全社会</w:t>
            </w:r>
          </w:p>
        </w:tc>
        <w:tc>
          <w:tcPr>
            <w:tcW w:w="551"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特定群体</w:t>
            </w:r>
          </w:p>
        </w:tc>
        <w:tc>
          <w:tcPr>
            <w:tcW w:w="898"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主动</w:t>
            </w:r>
          </w:p>
        </w:tc>
        <w:tc>
          <w:tcPr>
            <w:tcW w:w="898"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依申请</w:t>
            </w:r>
          </w:p>
        </w:tc>
        <w:tc>
          <w:tcPr>
            <w:tcW w:w="44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市级</w:t>
            </w:r>
          </w:p>
        </w:tc>
        <w:tc>
          <w:tcPr>
            <w:tcW w:w="447"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46"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未取得施工许可证或者开工报告未经批准擅自施工</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《中华人民共和国建筑法》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承包单位将承包的工程转包，或者违法分包</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《中华人民共和国建筑法》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建设单位要求建筑设计单位或者建筑施工企业违反建筑工程质量、安全标准，降低工程质量</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《中华人民共和国建筑法》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7"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Theme="minorEastAsia" w:hAnsiTheme="minorEastAsia" w:eastAsiaTheme="minorEastAsia" w:cstheme="minorEastAsia"/>
                <w:i w:val="0"/>
                <w:color w:val="000000"/>
                <w:sz w:val="18"/>
                <w:szCs w:val="18"/>
                <w:u w:val="none"/>
              </w:rPr>
            </w:pP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Theme="minorEastAsia" w:hAnsiTheme="minorEastAsia" w:eastAsiaTheme="minorEastAsia" w:cstheme="minorEastAsia"/>
                <w:i w:val="0"/>
                <w:color w:val="000000"/>
                <w:sz w:val="18"/>
                <w:szCs w:val="18"/>
                <w:u w:val="none"/>
              </w:rPr>
            </w:pP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Theme="minorEastAsia" w:hAnsiTheme="minorEastAsia" w:eastAsiaTheme="minorEastAsia" w:cstheme="minorEastAsia"/>
                <w:i w:val="0"/>
                <w:color w:val="000000"/>
                <w:sz w:val="18"/>
                <w:szCs w:val="18"/>
                <w:u w:val="none"/>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Theme="minorEastAsia" w:hAnsiTheme="minorEastAsia" w:eastAsiaTheme="minorEastAsia" w:cstheme="minorEastAsia"/>
                <w:i w:val="0"/>
                <w:color w:val="000000"/>
                <w:sz w:val="18"/>
                <w:szCs w:val="18"/>
                <w:u w:val="none"/>
              </w:rPr>
            </w:pP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Theme="minorEastAsia" w:hAnsiTheme="minorEastAsia" w:eastAsiaTheme="minorEastAsia" w:cstheme="minorEastAsia"/>
                <w:i w:val="0"/>
                <w:color w:val="000000"/>
                <w:sz w:val="18"/>
                <w:szCs w:val="18"/>
                <w:u w:val="none"/>
              </w:rPr>
            </w:pP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Theme="minorEastAsia" w:hAnsiTheme="minorEastAsia" w:eastAsiaTheme="minorEastAsia" w:cstheme="minorEastAsia"/>
                <w:i w:val="0"/>
                <w:color w:val="000000"/>
                <w:sz w:val="18"/>
                <w:szCs w:val="18"/>
                <w:u w:val="none"/>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Theme="minorEastAsia" w:hAnsiTheme="minorEastAsia" w:eastAsiaTheme="minorEastAsia" w:cstheme="minorEastAsia"/>
                <w:i w:val="0"/>
                <w:color w:val="000000"/>
                <w:sz w:val="18"/>
                <w:szCs w:val="18"/>
                <w:u w:val="none"/>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outlineLvl w:val="9"/>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建筑施工企业在施工中偷工减料，使用不合格的建筑材料、建筑构配件和设备，或者有其他不按照工程设计图纸或者施工技术标准施工的行为</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《中华人民共和国建筑法》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建筑施工企业不履行保修义务或者拖延履行保修义务</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《中华人民共和国建筑法》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建设单位将建设工程发包给不具有相应资质等级的勘察、设计、施工单位或者委托给不具有相应资质等级的工程监理单位</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建设单位施工图设计文件未经审查或者审查不合格，擅自施工</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建设项目必须实行工程监理而未实行工程监理</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建设单位未按照国家规定办理工程质量监督手续</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未组织竣工验收，建设单位擅自交付使用</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验收不合格，建设单位擅自交付使用</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建设单位对不合格的建设工程按照合格工程验收</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工程监理单位转让工程监理业务</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施工单位在施工中偷工减料；使用不合格的建筑材料、建筑构配件和设备；或者有不按照工程设计图纸或者施工技术标准施工的其他行为</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施工单位未对建筑材料、建筑构配件、设备和商品混凝土进行检验，或者未对涉及结构安全的试块、试件以及有关材料取样检测</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涉及建筑主体或者承重结构变动的装修工程，没有设计方案擅自施工；房屋建筑使用者在装修过程中擅自变动房屋建筑主体和承重结构</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《建设工程质量管理条例》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施工单位拒不整改或者不停止施工，工程监理单位未及时向有关主管部门报告</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《建设工程安全生产管理条例》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施工单位未在施工现场的危险部位设置明显的安全警示标志，或者未按照国家有关规定在施工现场设置消防通道、消防水源、配备消防设施和灭火器材</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《建设工程安全生产管理条例》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施工单位未根据不同施工阶段和周围环境及季节、气候的变化，在施工现场采取相应的安全施工措施，或者在城市市区内的建设工程的施工现场未实行封闭围挡</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《建设工程安全生产管理条例》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施工单位在尚未竣工的建筑物内设置员工集体宿舍</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《建设工程安全生产管理条例》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施工现场临时搭建的建筑物不符合安全使用要求</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《建设工程安全生产管理条例》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施工单位未对因建设工程施工可能造成损害的毗邻建筑物、构筑物和地下管线等采取专项防护措施</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《建设工程安全生产管理条例》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3"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建设工程勘察、设计单位超越其资质等级许可的范围或者以其他建设工程勘察、设计单位的名义承揽建设工程勘察、设计业务；允许其他单位或者个人以本单位的名义承揽建设工程勘察、设计业务</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《建设工程勘察设计管理条例》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3"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企业申请建筑业企业资质升级、资质增项，在申请之日起前一年至资质许可决定作出前，恶意拖欠分包企业工程款或者劳务人员工资</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《建筑业企业资质管理规定》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3"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企业申请建筑业企业资质升级、资质增项，在申请之日起前一年至资质许可决定作出前，未依法履行工程质量保修义务或拖延履行保修义务</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《建筑业企业资质管理规定》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未取得建筑业企业资质承接分包工程</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《房屋建筑和市政基础设施工程施工分包管理办法》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未取得施工许可证或者为规避办理施工许可证将工程项目分解后擅自施工</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《建筑工程施工许可管理办法》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建设单位采用欺骗、贿赂等不正当手段取得施工许可证</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《建筑工程施工许可管理办法》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建设单位隐瞒有关情况或者提供虚假材料申请施工许可证</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《建筑工程施工许可管理办法》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建设单位伪造或者涂改施工许可证</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《建筑工程施工许可管理办法》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施工工地未设置硬质密闭围挡，或者未采取覆盖、分段作业、择时施工、洒水抑尘、冲洗地面和车辆等有效防尘降尘措施</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《中华人民共和国大气污染防治法》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建筑土方、工程渣土、建筑垃圾未及时清运，或者未采用密闭式防尘网遮盖</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《中华人民共和国大气污染防治法》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建设单位未对暂时不能开工的建设用地的裸露地面进行覆盖，或者未对超过三个月不能开工的建设用地的裸露地面进行绿化、铺装或者遮盖</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《中华人民共和国大气污染防治法》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随意倾倒、抛撒或者堆放生活垃圾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《中华人民共和国固体废物污染环境防治法》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擅自关闭、闲置或者拆除生活垃圾处置设施、场所</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《中华人民共和国固体废物污染环境防治法》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工程施工单位不及时清运施工过程中产生的固体废物，造成环境污染</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《中华人民共和国固体废物污染环境防治法》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工程建设管理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工程施工单位不按照环境卫生行政主管部门的规定对施工过程中产生的固体废物进行利用或者处置</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《中华人民共和国固体废物污染环境防治法》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绿化管理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损坏城市树木花草    </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《城市绿化条例》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绿化管理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擅自砍伐城市树木</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《城市绿化条例》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绿化管理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砍伐、擅自迁移古树名木或者因养护不善致使古树名木受到损伤或者死亡</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《城市绿化条例》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绿化管理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损坏城市绿化设施</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《城市绿化条例》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绿化管理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未经同意擅自占用城市绿化用地</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《城市绿化条例》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绿化管理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不服从公共绿地管理单位管理的商业、服务摊点</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《城市绿化条例》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绿化管理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在城市绿地范围内进行拦河截溪、取土采石、设置垃圾堆场、排放污水以及其他对城市生态环境造成破坏活动</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《城市绿线管理办法》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随地吐痰、便溺，乱扔果皮、纸屑和烟头等废弃物</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在城市建筑物、设施以及树木上涂写、刻画或者未经批准张挂、张贴宣传品等</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在城市人民政府规定的街道的临街建筑物的阳台和窗外，堆放、吊挂有碍市容的物品</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不按规定的时间、地点、方式，倾倒垃圾、粪便</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不履行卫生责任区清扫保洁义务或者不按规定清运、处理垃圾和粪便</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运输液体、散装货物不作密封、包扎、覆盖，造成泄漏、遗撒</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临街工地不设置护栏或者不作遮挡、停工场地不及时整理并作必要覆盖或者竣工后不及时清理和平整场地，影响市容和环境卫生</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饲养家畜家禽影响市容和环境卫生</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未经城市人民政府市容环境卫生行政主管部门同意，擅自设置大型户外广告，影响市容</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未经城市人民政府市容环境卫生行政主管部门批准，擅自在街道两侧和公共场地堆放物料，搭建建筑物、构筑物或者其他设施，影响市容</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未经批准擅自拆除环境卫生设施或者未按批准的拆迁方案进行拆迁</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不符合城市容貌标准、环境卫生标准的建筑物或者设施</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损坏各类环境卫生设施及其附属设施</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单位和个人未按规定缴纳城市生活垃圾处理费</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未按照城市生活垃圾治理规划和环境卫生设施标准配套建设城市生活垃圾收集设施</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城市生活垃圾处置设施未经验收或者验收不合格投入使用</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未经批准擅自关闭、闲置或者拆除城市生活垃圾处置设施、场所</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随意倾倒、抛洒、堆放城市生活垃圾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未经批准从事城市生活垃圾经营性清扫、收集、运输或者处置活动</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从事城市生活垃圾经营性清扫、收集、运输的企业在运输过程中沿途丢弃、遗撒生活垃圾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3"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从事生活垃圾经营性清扫、收集、运输的企业不按照环境卫生作业标准和作业规范，在规定的时间内及时清扫、收运城市生活垃圾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3"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从事生活垃圾经营性清扫、收集、运输的企业未将收集的城市生活垃圾运到直辖市、市、县人民政府建设（环境卫生）主管部门认可的处置场所</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3"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从事生活垃圾经营性清扫、收集、运输的企业清扫、收运城市生活垃圾后，未对生活垃圾收集设施及时保洁、复位，清理作业场地，保持生活垃圾收集设施和周边环境的干净整洁</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3"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从事生活垃圾经营性清扫、收集、运输的企业用于收集、运输城市生活垃圾的车辆、船舶未做到密闭、完好和整洁</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从事生活垃圾经营性清扫、收集、运输的企业未严格按照国家有关规定和技术标准，处置城市生活垃圾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从事生活垃圾经营性清扫、收集、运输的企业未按照规定处理处置过程中产生的污水、废气、废渣、粉尘等，防止二次污染</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从事生活垃圾经营性清扫、收集、运输的企业未按照所在地建设（环境卫生）主管部门规定的时间和要求接收生活垃圾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从事生活垃圾经营性清扫、收集、运输的企业未按照要求配备城市生活垃圾处置设备、设施，保证设施、设备运行良好</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从事生活垃圾经营性清扫、收集、运输的企业未保证城市生活垃圾处置站、场（厂）环境整洁</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从事生活垃圾经营性清扫、收集、运输的企业未按照要求配备合格的管理人员及操作人员</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3"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从事生活垃圾经营性清扫、收集、运输的企业未对每日收运、进出场站、处置的生活垃圾进行计量，或未按照要求将统计数据和报表报送所在地建设（环境卫生）主管部门</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3"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生活垃圾经营性清扫、收集、运输的企业未按照要求定期进行水、气、土壤等环境影响监测，或未对生活垃圾处理设施的性能和环保指标进行检测、评价，或未向所在地建设（环境卫生）主管部门报告检测、评价结果</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从事城市生活垃圾经营性清扫、收集、运输的企业，未经批准擅自停业、歇业</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从事城市生活垃圾经营性处置的企业，未经批准擅自停业、歇业</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《城市生活垃圾管理办法》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将建筑垃圾混入生活垃圾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《城市建筑垃圾管理规定》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将危险废物混入建筑垃圾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《城市建筑垃圾管理规定》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擅自设立弃置场受纳建筑垃圾    </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《城市建筑垃圾管理规定》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建筑垃圾储运消纳场受纳工业垃圾、生活垃圾和有毒有害垃圾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《城市建筑垃圾管理规定》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施工单位未及时清运工程施工过程中产生的建筑垃圾，造成环境污染</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《城市建筑垃圾管理规定》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施工单位将建筑垃圾交给个人或者未经核准从事建筑垃圾运输的单位处置</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《城市建筑垃圾管理规定》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处置建筑垃圾的单位在运输建筑垃圾过程中沿途丢弃、遗撒建筑垃圾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《城市建筑垃圾管理规定》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涂改、倒卖、出租、出借或者以其他形式非法转让城市建筑垃圾处置核准文件</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《城市建筑垃圾管理规定》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未经核准擅自处置建筑垃圾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《城市建筑垃圾管理规定》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处置超出核准范围的建筑垃圾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《城市建筑垃圾管理规定》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任何单位和个人随意倾倒、抛撒或者堆放建筑垃圾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《城市建筑垃圾管理规定》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擅自占用城市公厕规划用地或者改变其性质</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《城市公厕管理办法》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建设单位经批准使用的土地含有城市公厕规划用地的，建设单位未按照城市公厕规划和城市人民政府环境卫生行政主管部门的要求修建公厕，并向社会开放使用</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《城市公厕管理办法》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未按分工负责城市公厕的建设和维修管理    </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《城市公厕管理办法》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影剧院、商店、饭店、车站等公共建筑没有附设公厕或者原有公厕及其卫生设施不足的，未按照城市人民政府环境卫生行政主管部门的要求进行新建、扩建或者改造</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《城市公厕管理办法》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公共建筑附设的公厕及其卫生设施的设计和安装，不符合国家和地方的有关标准</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《城市公厕管理办法》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对于损坏严重或者年久失修的公厕，有关单位未按照分工负责建设和维修管理，或在拆除重建时未先建临时公厕</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《城市公厕管理办法》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独立设置的城市公厕竣工时，建设单位未通知城市人民政府环境卫生主管部门或者其指定的部门参加验收；将验收不合格的独立设置的城市公厕交付使用</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《城市公厕管理办法》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在公厕内乱丢垃圾、污物，随地吐痰，乱涂乱画</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《城市公厕管理办法》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破坏公厕设施、设备</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《城市公厕管理办法》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未经批准擅自占用或者改变公厕使用性质</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《城市公厕管理办法》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市容环境卫生管理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在运输过程中沿途丢弃、遗撒生活垃圾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《中华人民共和国固体废物污染环境防治法》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未取得设计、施工资格或者未按照资质等级承担城市道路的设计、施工任务</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未按照城市道路设计、施工技术规范设计、施工</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未按照设计图纸施工或者擅自修改图纸</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擅自使用未经验收或者验收不合格的城市道路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承担城市道路养护、维修的单位未定期对城市道路进行养护、维修或者未按照规定的期限修复竣工，并拒绝接受市政工程行政主管部门监督、检查</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未对设在城市道路上的各种管线的检查井、箱盖或者城市道路附属设施的缺损及时补缺或者修复</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未在城市道路施工现场设置明显标志和安全防围设施</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占用城市道路期满或者挖掘城市道路后，不及时清理现场</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依附于城市道路建设各种管线、杆线等设施，不按照规定办理批准手续</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紧急抢修埋设在城市道路下的管线，不按照规定补办批准手续</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未按照批准的位置、面积、期限占用或者挖掘城市道路，或者需要移动位置、扩大面积、延长时间，未提前办理变更审批手续</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擅自占用或者挖掘城市道路</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履带车、铁轮车或者超重、超高、超长车辆擅自在城市道路上行驶</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机动车在桥梁或者非指定的城市道路上试刹车</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擅自在城市道路上建设建筑物、构筑物</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在桥梁上架设压力在4公斤/平方厘米（0.4兆帕）以上的煤气管道、10千伏以上的高压电力线和其他易燃易爆管线</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擅自在桥梁或者路灯设施上设置广告牌或者其他挂浮物</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其他损害、侵占城市道路的行为</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《城市道路管理条例》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120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特许经营者违反法律、行政法规和国家强制性标准，严重危害公共利益，或者造成重大质量、安全事故或者突发环境事件</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《基础设施和公用事业特许经营管理办法》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121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以欺骗、贿赂等不正当手段取得特许经营项目</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《基础设施和公用事业特许经营管理办法》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122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不具备相应资质的单位和不具备相应执业资格证书的专业技术人员从事城市照明工程勘察、设计、施工、监理</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《城市照明管理规定》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123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在城市景观照明中有过度照明等超能耗标准行为</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《城市照明管理规定》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124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在城市照明设施上刻划、涂污</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《城市照明管理规定》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125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在城市照明设施安全距离内，擅自植树、挖坑取土或者设置其他物体，或者倾倒含酸、碱、盐等腐蚀物或者具有腐蚀性的废渣、废液</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《城市照明管理规定》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126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擅自在城市照明设施上张贴、悬挂、设置宣传品、广告</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《城市照明管理规定》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127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擅自在城市照明设施上架设线缆、安置其它设施或者接用电源</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《城市照明管理规定》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128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擅自迁移、拆除、利用城市照明设施</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《城市照明管理规定》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129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其他可能影响城市照明设施正常运行的行为</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《城市照明管理规定》</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获得特许经营权的企业擅自停业、歇业</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《市政公用事业特许经营管理办法》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以欺骗、贿赂等不正当手段获得特许经营权</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《市政公用事业特许经营管理办法》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城市桥梁产权人或者委托管理人未按照规定编制城市桥梁养护维修的中长期规划和年度计划，或者未经批准即实施</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《城市桥梁检测和养护维修管理办</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城市桥梁产权人或者委托管理人未按照规定设置相应的标志，并保持其完好、清晰</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《城市桥梁检测和养护维修管理办</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城市桥梁产权人或者委托管理人未按照规定委托具有相应资格的机构对城市桥梁进行检测评估</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《城市桥梁检测和养护维修管理办</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城市桥梁产权人或者委托管理人未按照规定制定城市桥梁的安全抢险预备方案</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《城市桥梁检测和养护维修管理办</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城市桥梁产权人或者委托管理人未按照规定对城市桥梁进行养护维修</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《城市桥梁检测和养护维修管理办</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单位或者个人擅自在城市桥梁上架设各类管线、设置广告等辅助物</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《城市桥梁检测和养护维修管理办</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138</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单位和个人擅自在城市桥梁施工控制范围内从事河道疏浚、挖掘、打桩、地下管道顶进、爆破等</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《城市桥梁检测和养护维修管理办</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3"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139</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超限机动车辆、履带车、铁轮车等需经过城市桥梁的，在报公安交通管理部门审批前，未先经城市人民政府市政工程设施行政主管部门同意，或未采取相应技术措施就通行</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《城市桥梁检测和养护维修管理办</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3"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140</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经过检测评估，确定城市桥梁的承载能力下降，但尚未构成危桥的，城市桥梁产权人和委托管理人未及时设置警示标志，或未立即采取加固等安全措施</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《城市桥梁检测和养护维修管理办法》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6"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141</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市政公用管理</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经检测评估判定为危桥的，城市桥梁产权人和委托管理人未立即采取措施，设置显著的警示标志，或未在二十四小时内，向城市人民政府市政工程设施行政主管部门报告；市政工程设施行政主管部门提出处理意见后，城市桥梁产权人和委托管理人未在期限内排除危险；在危险排除之前，城市桥梁产权人和委托管理人使用或者转让危桥</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《城市桥梁检测和养护维修管理办</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142</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违法建设</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未取得建设工程规划许可证或者未按照建设工程规划许可证的规定进行建设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《中华人民共和国城乡规划法》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143</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违法建设</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建设单位或者个人未经批准进行临时建设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《中华人民共和国城乡规划法》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144</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违法建设</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建设单位或者个人未按照批准内容进行临时建设</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《中华人民共和国城乡规划法》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9"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145</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违法建设</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临时建筑物、构筑物超过批准期限建设单位或者个人不拆除</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4.行政处罚自由裁量基准；</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6.处罚决定；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7.救济渠道。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《中华人民共和国城乡规划法》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1.除处罚决定外其他内容：长期公开（动态调整）；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2.处罚决定：20个工作日内。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85"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146</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违法建设</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城乡规划主管部门作出责令停止建设或者限期拆除的决定后，当事人不停止建设或者逾期不拆除</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5.强制决定；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《中华人民共和国城乡规划法》</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1.除强制决定外其他内容：长期公开（动态调整）；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2.强制决定：20个工作日内。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96" w:hRule="atLeast"/>
        </w:trPr>
        <w:tc>
          <w:tcPr>
            <w:tcW w:w="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147</w:t>
            </w:r>
          </w:p>
        </w:tc>
        <w:tc>
          <w:tcPr>
            <w:tcW w:w="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违法建设</w:t>
            </w:r>
          </w:p>
        </w:tc>
        <w:tc>
          <w:tcPr>
            <w:tcW w:w="1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凡不符合城市容貌标准、环境卫生标准的建筑物或者设施，逾期未改造或者未拆除</w:t>
            </w:r>
          </w:p>
        </w:tc>
        <w:tc>
          <w:tcPr>
            <w:tcW w:w="18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1.机构职能、权责清单、执法人员名单；</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2.执法程序或行政强制流程图；</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3.执法依据；</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4.咨询、监督投诉方式；</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5.强制决定；</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6.救济渠道。</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《城市市容和环境卫生管理条例》</w:t>
            </w:r>
          </w:p>
        </w:tc>
        <w:tc>
          <w:tcPr>
            <w:tcW w:w="13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1.除强制决定外其他内容：长期公开（动态调整）；</w:t>
            </w:r>
            <w:r>
              <w:rPr>
                <w:rFonts w:hint="eastAsia" w:asciiTheme="minorEastAsia" w:hAnsiTheme="minorEastAsia" w:eastAsiaTheme="minorEastAsia" w:cstheme="minorEastAsia"/>
                <w:i w:val="0"/>
                <w:color w:val="000000"/>
                <w:kern w:val="0"/>
                <w:sz w:val="18"/>
                <w:szCs w:val="18"/>
                <w:u w:val="none"/>
                <w:lang w:val="en-US" w:eastAsia="zh-CN" w:bidi="ar"/>
              </w:rPr>
              <w:br w:type="textWrapping"/>
            </w:r>
            <w:r>
              <w:rPr>
                <w:rFonts w:hint="eastAsia" w:asciiTheme="minorEastAsia" w:hAnsiTheme="minorEastAsia" w:eastAsiaTheme="minorEastAsia" w:cstheme="minorEastAsia"/>
                <w:i w:val="0"/>
                <w:color w:val="000000"/>
                <w:kern w:val="0"/>
                <w:sz w:val="18"/>
                <w:szCs w:val="18"/>
                <w:u w:val="none"/>
                <w:lang w:val="en-US" w:eastAsia="zh-CN" w:bidi="ar"/>
              </w:rPr>
              <w:t>2.强制决定：20个工作日内。</w:t>
            </w:r>
          </w:p>
        </w:tc>
        <w:tc>
          <w:tcPr>
            <w:tcW w:w="1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cstheme="minorEastAsia"/>
                <w:i w:val="0"/>
                <w:color w:val="000000"/>
                <w:kern w:val="0"/>
                <w:sz w:val="18"/>
                <w:szCs w:val="18"/>
                <w:u w:val="none"/>
                <w:lang w:val="en-US" w:eastAsia="zh-CN" w:bidi="ar"/>
              </w:rPr>
              <w:t>霞山区</w:t>
            </w:r>
            <w:r>
              <w:rPr>
                <w:rFonts w:hint="eastAsia" w:asciiTheme="minorEastAsia" w:hAnsiTheme="minorEastAsia" w:eastAsiaTheme="minorEastAsia" w:cstheme="minorEastAsia"/>
                <w:i w:val="0"/>
                <w:color w:val="000000"/>
                <w:kern w:val="0"/>
                <w:sz w:val="18"/>
                <w:szCs w:val="18"/>
                <w:u w:val="none"/>
                <w:lang w:val="en-US" w:eastAsia="zh-CN" w:bidi="ar"/>
              </w:rPr>
              <w:t>城市管理和综合执法局</w:t>
            </w:r>
          </w:p>
        </w:tc>
        <w:tc>
          <w:tcPr>
            <w:tcW w:w="1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政府网站   </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Theme="minorEastAsia" w:hAnsiTheme="minorEastAsia" w:eastAsiaTheme="minorEastAsia" w:cstheme="minorEastAsia"/>
                <w:i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r>
      <w:bookmarkEnd w:id="0"/>
    </w:tbl>
    <w:p>
      <w:pPr>
        <w:keepNext w:val="0"/>
        <w:keepLines w:val="0"/>
        <w:pageBreakBefore w:val="0"/>
        <w:kinsoku/>
        <w:wordWrap/>
        <w:overflowPunct/>
        <w:topLinePunct w:val="0"/>
        <w:autoSpaceDE/>
        <w:autoSpaceDN/>
        <w:bidi w:val="0"/>
        <w:adjustRightInd/>
        <w:snapToGrid/>
        <w:spacing w:line="220" w:lineRule="exact"/>
        <w:rPr>
          <w:rFonts w:hint="eastAsia" w:asciiTheme="minorEastAsia" w:hAnsiTheme="minorEastAsia" w:eastAsiaTheme="minorEastAsia" w:cstheme="minorEastAsia"/>
          <w:sz w:val="18"/>
          <w:szCs w:val="1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
    <w:panose1 w:val="02010609060101010101"/>
    <w:charset w:val="86"/>
    <w:family w:val="auto"/>
    <w:pitch w:val="default"/>
    <w:sig w:usb0="800002BF" w:usb1="38CF7CFA" w:usb2="00000016" w:usb3="00000000" w:csb0="00040001" w:csb1="00000000"/>
  </w:font>
  <w:font w:name="方正小标宋_GBK">
    <w:altName w:val="Microsoft YaHei"/>
    <w:panose1 w:val="03000509000000000000"/>
    <w:charset w:val="86"/>
    <w:family w:val="auto"/>
    <w:pitch w:val="default"/>
    <w:sig w:usb0="00000000" w:usb1="00000000" w:usb2="00000000" w:usb3="00000000" w:csb0="00040000" w:csb1="00000000"/>
  </w:font>
  <w:font w:name="Microsoft YaHei">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76168"/>
    <w:rsid w:val="14530D8F"/>
    <w:rsid w:val="197A1D04"/>
    <w:rsid w:val="1AEF3517"/>
    <w:rsid w:val="1D253A65"/>
    <w:rsid w:val="1D855B9F"/>
    <w:rsid w:val="44CF1039"/>
    <w:rsid w:val="4A724E32"/>
    <w:rsid w:val="59A76168"/>
    <w:rsid w:val="63F232A4"/>
    <w:rsid w:val="74282600"/>
    <w:rsid w:val="76FD0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FangSong" w:hAnsi="FangSong" w:eastAsia="FangSong"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paragraph" w:customStyle="1" w:styleId="5">
    <w:name w:val="文档"/>
    <w:basedOn w:val="1"/>
    <w:qFormat/>
    <w:uiPriority w:val="0"/>
    <w:rPr>
      <w:rFonts w:eastAsia="FangSong"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2020-08-03T10:43:00Z</dcterms:created>
  <dc:creator>驚蟄</dc:creator>
  <cp:lastModifiedBy>Administrator</cp:lastModifiedBy>
  <cp:lastPrinted>2020-08-04T00:34:00Z</cp:lastPrinted>
  <dcterms:modified xsi:type="dcterms:W3CDTF">2020-12-18T09:57:29Z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