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End w:id="1"/>
      <w:bookmarkStart w:id="0" w:name="_Toc24724705"/>
      <w:r>
        <w:rPr>
          <w:rFonts w:hint="eastAsia" w:ascii="方正小标宋_GBK" w:hAnsi="方正小标宋_GBK" w:eastAsia="方正小标宋_GBK"/>
          <w:b w:val="0"/>
          <w:bCs w:val="0"/>
          <w:sz w:val="30"/>
        </w:rPr>
        <w:t>（二）公共资源交易领域基层政务公开标准目录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776"/>
        <w:gridCol w:w="3364"/>
        <w:gridCol w:w="2340"/>
        <w:gridCol w:w="1620"/>
        <w:gridCol w:w="956"/>
        <w:gridCol w:w="1856"/>
        <w:gridCol w:w="720"/>
        <w:gridCol w:w="900"/>
        <w:gridCol w:w="78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kern w:val="0"/>
                <w:sz w:val="22"/>
              </w:rPr>
              <w:t>序号</w:t>
            </w:r>
          </w:p>
        </w:tc>
        <w:tc>
          <w:tcPr>
            <w:tcW w:w="1676" w:type="dxa"/>
            <w:gridSpan w:val="2"/>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公开事项</w:t>
            </w:r>
          </w:p>
        </w:tc>
        <w:tc>
          <w:tcPr>
            <w:tcW w:w="3364"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公开内容（要素）</w:t>
            </w:r>
          </w:p>
        </w:tc>
        <w:tc>
          <w:tcPr>
            <w:tcW w:w="234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公开依据</w:t>
            </w:r>
          </w:p>
        </w:tc>
        <w:tc>
          <w:tcPr>
            <w:tcW w:w="1620"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hint="eastAsia" w:ascii="黑体" w:hAnsi="宋体" w:eastAsia="黑体" w:cs="宋体"/>
                <w:kern w:val="0"/>
                <w:sz w:val="22"/>
              </w:rPr>
            </w:pPr>
            <w:r>
              <w:rPr>
                <w:rFonts w:hint="eastAsia" w:ascii="黑体" w:hAnsi="宋体" w:eastAsia="黑体" w:cs="宋体"/>
                <w:kern w:val="0"/>
                <w:sz w:val="22"/>
              </w:rPr>
              <w:t>时限</w:t>
            </w:r>
          </w:p>
        </w:tc>
        <w:tc>
          <w:tcPr>
            <w:tcW w:w="95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w:t>
            </w:r>
          </w:p>
          <w:p>
            <w:pPr>
              <w:widowControl/>
              <w:jc w:val="center"/>
              <w:rPr>
                <w:rFonts w:ascii="黑体" w:hAnsi="宋体" w:eastAsia="黑体" w:cs="宋体"/>
                <w:kern w:val="0"/>
                <w:sz w:val="22"/>
              </w:rPr>
            </w:pPr>
            <w:r>
              <w:rPr>
                <w:rFonts w:hint="eastAsia" w:ascii="黑体" w:hAnsi="宋体" w:eastAsia="黑体" w:cs="宋体"/>
                <w:kern w:val="0"/>
                <w:sz w:val="22"/>
              </w:rPr>
              <w:t>主体</w:t>
            </w:r>
          </w:p>
        </w:tc>
        <w:tc>
          <w:tcPr>
            <w:tcW w:w="18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62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688"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一级事项</w:t>
            </w:r>
          </w:p>
        </w:tc>
        <w:tc>
          <w:tcPr>
            <w:tcW w:w="776" w:type="dxa"/>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二级事项</w:t>
            </w:r>
          </w:p>
        </w:tc>
        <w:tc>
          <w:tcPr>
            <w:tcW w:w="3364" w:type="dxa"/>
            <w:vMerge w:val="continue"/>
            <w:noWrap w:val="0"/>
            <w:vAlign w:val="center"/>
          </w:tcPr>
          <w:p>
            <w:pPr>
              <w:widowControl/>
              <w:jc w:val="left"/>
              <w:rPr>
                <w:rFonts w:hint="eastAsia" w:ascii="黑体" w:hAnsi="宋体" w:eastAsia="黑体" w:cs="宋体"/>
                <w:kern w:val="0"/>
                <w:sz w:val="22"/>
              </w:rPr>
            </w:pPr>
          </w:p>
        </w:tc>
        <w:tc>
          <w:tcPr>
            <w:tcW w:w="2340" w:type="dxa"/>
            <w:vMerge w:val="continue"/>
            <w:noWrap w:val="0"/>
            <w:vAlign w:val="center"/>
          </w:tcPr>
          <w:p>
            <w:pPr>
              <w:widowControl/>
              <w:jc w:val="left"/>
              <w:rPr>
                <w:rFonts w:hint="eastAsia" w:ascii="黑体" w:hAnsi="宋体" w:eastAsia="黑体" w:cs="宋体"/>
                <w:kern w:val="0"/>
                <w:sz w:val="22"/>
              </w:rPr>
            </w:pPr>
          </w:p>
        </w:tc>
        <w:tc>
          <w:tcPr>
            <w:tcW w:w="1620" w:type="dxa"/>
            <w:vMerge w:val="continue"/>
            <w:noWrap w:val="0"/>
            <w:vAlign w:val="center"/>
          </w:tcPr>
          <w:p>
            <w:pPr>
              <w:widowControl/>
              <w:jc w:val="left"/>
              <w:rPr>
                <w:rFonts w:hint="eastAsia" w:ascii="黑体" w:hAnsi="宋体" w:eastAsia="黑体" w:cs="宋体"/>
                <w:kern w:val="0"/>
                <w:sz w:val="22"/>
              </w:rPr>
            </w:pPr>
          </w:p>
        </w:tc>
        <w:tc>
          <w:tcPr>
            <w:tcW w:w="956" w:type="dxa"/>
            <w:vMerge w:val="continue"/>
            <w:noWrap w:val="0"/>
            <w:vAlign w:val="center"/>
          </w:tcPr>
          <w:p>
            <w:pPr>
              <w:widowControl/>
              <w:jc w:val="left"/>
              <w:rPr>
                <w:rFonts w:ascii="黑体" w:hAnsi="宋体" w:eastAsia="黑体" w:cs="宋体"/>
                <w:kern w:val="0"/>
                <w:sz w:val="22"/>
              </w:rPr>
            </w:pPr>
          </w:p>
        </w:tc>
        <w:tc>
          <w:tcPr>
            <w:tcW w:w="18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群众</w:t>
            </w:r>
          </w:p>
        </w:tc>
        <w:tc>
          <w:tcPr>
            <w:tcW w:w="788"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90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1</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资格预审公告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2</w:t>
            </w:r>
          </w:p>
        </w:tc>
        <w:tc>
          <w:tcPr>
            <w:tcW w:w="900" w:type="dxa"/>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p>
            <w:pPr>
              <w:jc w:val="center"/>
              <w:rPr>
                <w:rFonts w:hint="eastAsia" w:ascii="仿宋_GB2312" w:hAnsi="宋体" w:eastAsia="仿宋_GB2312" w:cs="宋体"/>
                <w:sz w:val="18"/>
                <w:szCs w:val="18"/>
              </w:rPr>
            </w:pPr>
            <w:r>
              <w:rPr>
                <w:rFonts w:hint="eastAsia" w:ascii="仿宋_GB2312" w:hAnsi="宋体" w:eastAsia="仿宋_GB2312"/>
                <w:sz w:val="18"/>
                <w:szCs w:val="18"/>
              </w:rPr>
              <w:t>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招标公告</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《招标投标法》、《招标投标法实施条例》、《国务院办公厅关于推进公共资源配置领域政府信息公开的意见》、《招标公告和公示信息发布管理办法》、《电子招标投标办法》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3</w:t>
            </w:r>
          </w:p>
        </w:tc>
        <w:tc>
          <w:tcPr>
            <w:tcW w:w="900" w:type="dxa"/>
            <w:vMerge w:val="restart"/>
            <w:noWrap w:val="0"/>
            <w:vAlign w:val="center"/>
          </w:tcPr>
          <w:p>
            <w:pPr>
              <w:jc w:val="center"/>
              <w:rPr>
                <w:rFonts w:hint="eastAsia" w:ascii="仿宋_GB2312" w:hAnsi="宋体" w:eastAsia="仿宋_GB2312" w:cs="宋体"/>
                <w:sz w:val="18"/>
                <w:szCs w:val="18"/>
              </w:rPr>
            </w:pPr>
            <w:r>
              <w:rPr>
                <w:rFonts w:hint="eastAsia" w:ascii="仿宋_GB2312" w:hAnsi="宋体" w:eastAsia="仿宋_GB2312"/>
                <w:sz w:val="18"/>
                <w:szCs w:val="18"/>
              </w:rPr>
              <w:t>工程建设项目招标投标信息　</w:t>
            </w: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中标候选人公示</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Pr>
                <w:rFonts w:hint="eastAsia" w:ascii="仿宋_GB2312" w:hAnsi="宋体" w:eastAsia="仿宋_GB2312"/>
                <w:sz w:val="18"/>
                <w:szCs w:val="18"/>
              </w:rPr>
              <w:br w:type="textWrapping"/>
            </w:r>
            <w:r>
              <w:rPr>
                <w:rFonts w:hint="eastAsia" w:ascii="仿宋_GB2312" w:hAnsi="宋体" w:eastAsia="仿宋_GB2312"/>
                <w:sz w:val="18"/>
                <w:szCs w:val="18"/>
              </w:rPr>
              <w:t>招标文件规定公示的其他内容。</w:t>
            </w:r>
          </w:p>
        </w:tc>
        <w:tc>
          <w:tcPr>
            <w:tcW w:w="2340" w:type="dxa"/>
            <w:vMerge w:val="restart"/>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 xml:space="preserve">《国务院办公厅关于推进公共资源配置领域政府信息公开的意见》、《招标公告和公示信息发布管理办法》、《电子招标投标办法》 </w:t>
            </w:r>
          </w:p>
        </w:tc>
        <w:tc>
          <w:tcPr>
            <w:tcW w:w="1620"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依法必须进行招标的项目，招标人应当自收到评标报告之日起3日内公示中标候选人，公示期不得少于3日</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hAnsi="宋体" w:eastAsia="仿宋_GB2312"/>
                <w:sz w:val="18"/>
                <w:szCs w:val="18"/>
                <w:lang w:val="en-US" w:eastAsia="zh-CN"/>
              </w:rPr>
              <w:t>4</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中标结果</w:t>
            </w:r>
          </w:p>
        </w:tc>
        <w:tc>
          <w:tcPr>
            <w:tcW w:w="3364" w:type="dxa"/>
            <w:noWrap w:val="0"/>
            <w:vAlign w:val="center"/>
          </w:tcPr>
          <w:p>
            <w:pPr>
              <w:rPr>
                <w:rFonts w:hint="eastAsia" w:ascii="仿宋_GB2312" w:hAnsi="宋体" w:eastAsia="仿宋_GB2312" w:cs="宋体"/>
                <w:sz w:val="18"/>
                <w:szCs w:val="18"/>
              </w:rPr>
            </w:pPr>
            <w:r>
              <w:rPr>
                <w:rFonts w:hint="eastAsia" w:ascii="仿宋_GB2312" w:hAnsi="宋体" w:eastAsia="仿宋_GB2312"/>
                <w:sz w:val="18"/>
                <w:szCs w:val="18"/>
              </w:rPr>
              <w:t>招标项目名称、中标人名称、中标价、工期、项目负责人、中标内容。</w:t>
            </w:r>
          </w:p>
        </w:tc>
        <w:tc>
          <w:tcPr>
            <w:tcW w:w="2340" w:type="dxa"/>
            <w:vMerge w:val="continue"/>
            <w:noWrap w:val="0"/>
            <w:vAlign w:val="center"/>
          </w:tcPr>
          <w:p>
            <w:pPr>
              <w:rPr>
                <w:rFonts w:hint="eastAsia" w:ascii="仿宋_GB2312" w:hAnsi="宋体" w:eastAsia="仿宋_GB2312"/>
                <w:sz w:val="18"/>
                <w:szCs w:val="18"/>
              </w:rPr>
            </w:pPr>
          </w:p>
        </w:tc>
        <w:tc>
          <w:tcPr>
            <w:tcW w:w="1620" w:type="dxa"/>
            <w:noWrap w:val="0"/>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招标人或者其委托的招标代理机构</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hAnsi="宋体" w:eastAsia="仿宋_GB2312"/>
                <w:sz w:val="18"/>
                <w:szCs w:val="18"/>
                <w:lang w:eastAsia="zh-CN"/>
              </w:rPr>
            </w:pPr>
            <w:r>
              <w:rPr>
                <w:rFonts w:hint="eastAsia" w:ascii="仿宋_GB2312" w:eastAsia="仿宋_GB2312"/>
                <w:sz w:val="18"/>
                <w:szCs w:val="18"/>
                <w:lang w:val="en-US" w:eastAsia="zh-CN"/>
              </w:rPr>
              <w:t>5</w:t>
            </w:r>
          </w:p>
        </w:tc>
        <w:tc>
          <w:tcPr>
            <w:tcW w:w="900" w:type="dxa"/>
            <w:vMerge w:val="restart"/>
            <w:noWrap w:val="0"/>
            <w:vAlign w:val="center"/>
          </w:tcPr>
          <w:p>
            <w:pPr>
              <w:jc w:val="center"/>
              <w:rPr>
                <w:rFonts w:hint="eastAsia" w:ascii="仿宋_GB2312" w:hAnsi="宋体"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合同订立信息</w:t>
            </w:r>
          </w:p>
        </w:tc>
        <w:tc>
          <w:tcPr>
            <w:tcW w:w="3364" w:type="dxa"/>
            <w:noWrap w:val="0"/>
            <w:vAlign w:val="center"/>
          </w:tcPr>
          <w:p>
            <w:pPr>
              <w:rPr>
                <w:rFonts w:hint="eastAsia" w:ascii="仿宋_GB2312" w:hAnsi="宋体" w:eastAsia="仿宋_GB2312"/>
                <w:sz w:val="18"/>
                <w:szCs w:val="18"/>
              </w:rPr>
            </w:pPr>
            <w:r>
              <w:rPr>
                <w:rFonts w:hint="eastAsia" w:ascii="仿宋_GB2312" w:hAnsi="宋体" w:eastAsia="仿宋_GB2312"/>
                <w:sz w:val="18"/>
                <w:szCs w:val="18"/>
              </w:rPr>
              <w:t>包括项目名称、合同双方名称、合同价款、签约时间、合同期限。</w:t>
            </w:r>
          </w:p>
        </w:tc>
        <w:tc>
          <w:tcPr>
            <w:tcW w:w="2340" w:type="dxa"/>
            <w:noWrap w:val="0"/>
            <w:vAlign w:val="center"/>
          </w:tcPr>
          <w:p>
            <w:pPr>
              <w:rPr>
                <w:rFonts w:hint="eastAsia" w:ascii="仿宋_GB2312" w:hAnsi="宋体" w:eastAsia="仿宋_GB2312"/>
                <w:sz w:val="18"/>
                <w:szCs w:val="18"/>
              </w:rPr>
            </w:pPr>
            <w:r>
              <w:rPr>
                <w:rFonts w:hint="eastAsia" w:ascii="仿宋_GB2312" w:eastAsia="仿宋_GB2312"/>
                <w:sz w:val="18"/>
                <w:szCs w:val="18"/>
              </w:rPr>
              <w:t>《国务院办公厅关于推进公共资源配置领域政府信息公开的意见》、《电子招标投标办法》</w:t>
            </w:r>
          </w:p>
        </w:tc>
        <w:tc>
          <w:tcPr>
            <w:tcW w:w="1620" w:type="dxa"/>
            <w:noWrap w:val="0"/>
            <w:vAlign w:val="center"/>
          </w:tcPr>
          <w:p>
            <w:pPr>
              <w:jc w:val="center"/>
              <w:rPr>
                <w:rFonts w:hint="eastAsia" w:ascii="仿宋_GB2312" w:hAnsi="宋体"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hAnsi="宋体" w:eastAsia="仿宋_GB2312"/>
                <w:sz w:val="18"/>
                <w:szCs w:val="18"/>
              </w:rPr>
            </w:pPr>
            <w:r>
              <w:rPr>
                <w:rFonts w:hint="eastAsia" w:ascii="仿宋_GB2312" w:eastAsia="仿宋_GB2312"/>
                <w:sz w:val="18"/>
                <w:szCs w:val="18"/>
              </w:rPr>
              <w:t>合同当事人</w:t>
            </w:r>
          </w:p>
        </w:tc>
        <w:tc>
          <w:tcPr>
            <w:tcW w:w="1856" w:type="dxa"/>
            <w:noWrap w:val="0"/>
            <w:vAlign w:val="center"/>
          </w:tcPr>
          <w:p>
            <w:pPr>
              <w:rPr>
                <w:rFonts w:ascii="仿宋_GB2312" w:hAnsi="宋体"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　</w:t>
            </w:r>
          </w:p>
        </w:tc>
        <w:tc>
          <w:tcPr>
            <w:tcW w:w="788" w:type="dxa"/>
            <w:noWrap w:val="0"/>
            <w:vAlign w:val="center"/>
          </w:tcPr>
          <w:p>
            <w:pPr>
              <w:jc w:val="center"/>
              <w:rPr>
                <w:rFonts w:ascii="仿宋_GB2312" w:hAnsi="宋体" w:eastAsia="仿宋_GB2312"/>
                <w:sz w:val="18"/>
                <w:szCs w:val="18"/>
              </w:rPr>
            </w:pPr>
            <w:r>
              <w:rPr>
                <w:rFonts w:hint="eastAsia" w:ascii="仿宋_GB2312" w:hAnsi="宋体" w:eastAsia="仿宋_GB2312"/>
                <w:sz w:val="18"/>
                <w:szCs w:val="18"/>
              </w:rPr>
              <w:t>√</w:t>
            </w:r>
          </w:p>
        </w:tc>
        <w:tc>
          <w:tcPr>
            <w:tcW w:w="900" w:type="dxa"/>
            <w:noWrap w:val="0"/>
            <w:vAlign w:val="center"/>
          </w:tcPr>
          <w:p>
            <w:pP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6</w:t>
            </w:r>
          </w:p>
        </w:tc>
        <w:tc>
          <w:tcPr>
            <w:tcW w:w="900" w:type="dxa"/>
            <w:vMerge w:val="continue"/>
            <w:noWrap w:val="0"/>
            <w:vAlign w:val="center"/>
          </w:tcPr>
          <w:p>
            <w:pPr>
              <w:jc w:val="center"/>
              <w:rPr>
                <w:rFonts w:hint="eastAsia" w:ascii="仿宋_GB2312" w:hAnsi="宋体" w:eastAsia="仿宋_GB2312"/>
                <w:sz w:val="18"/>
                <w:szCs w:val="18"/>
              </w:rPr>
            </w:pPr>
          </w:p>
        </w:tc>
        <w:tc>
          <w:tcPr>
            <w:tcW w:w="776" w:type="dxa"/>
            <w:noWrap w:val="0"/>
            <w:vAlign w:val="center"/>
          </w:tcPr>
          <w:p>
            <w:pPr>
              <w:rPr>
                <w:rFonts w:hint="eastAsia" w:ascii="仿宋_GB2312" w:hAnsi="宋体" w:eastAsia="仿宋_GB2312"/>
                <w:sz w:val="18"/>
                <w:szCs w:val="18"/>
              </w:rPr>
            </w:pPr>
            <w:r>
              <w:rPr>
                <w:rFonts w:hint="eastAsia" w:ascii="仿宋_GB2312" w:eastAsia="仿宋_GB2312"/>
                <w:sz w:val="18"/>
                <w:szCs w:val="18"/>
              </w:rPr>
              <w:t>合同履行及变更信息</w:t>
            </w:r>
          </w:p>
        </w:tc>
        <w:tc>
          <w:tcPr>
            <w:tcW w:w="3364" w:type="dxa"/>
            <w:noWrap w:val="0"/>
            <w:vAlign w:val="center"/>
          </w:tcPr>
          <w:p>
            <w:pPr>
              <w:rPr>
                <w:rFonts w:hint="eastAsia" w:ascii="仿宋_GB2312" w:hAnsi="宋体" w:eastAsia="仿宋_GB2312"/>
                <w:sz w:val="18"/>
                <w:szCs w:val="18"/>
              </w:rPr>
            </w:pPr>
            <w:r>
              <w:rPr>
                <w:rFonts w:hint="eastAsia" w:ascii="仿宋_GB2312" w:eastAsia="仿宋_GB2312"/>
                <w:sz w:val="18"/>
                <w:szCs w:val="18"/>
              </w:rPr>
              <w:t>项目名称、标段名称、建设单位、承包人、项目完成质量、期限、结算金额、合同发生的变更、解除合同通知书、违约行为的处理结果。</w:t>
            </w:r>
          </w:p>
        </w:tc>
        <w:tc>
          <w:tcPr>
            <w:tcW w:w="2340" w:type="dxa"/>
            <w:vMerge w:val="restart"/>
            <w:noWrap w:val="0"/>
            <w:vAlign w:val="center"/>
          </w:tcPr>
          <w:p>
            <w:pPr>
              <w:rPr>
                <w:rFonts w:hint="eastAsia" w:ascii="仿宋_GB2312" w:eastAsia="仿宋_GB2312"/>
                <w:sz w:val="18"/>
                <w:szCs w:val="18"/>
              </w:rPr>
            </w:pPr>
            <w:r>
              <w:rPr>
                <w:rFonts w:hint="eastAsia" w:ascii="仿宋_GB2312" w:eastAsia="仿宋_GB2312"/>
                <w:sz w:val="18"/>
                <w:szCs w:val="18"/>
              </w:rPr>
              <w:t>《招标投标法》、《招标投标法实施条例》、《电子招标投标办法》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鼓励及时公开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合同当事人</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招标投标公共服务平台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公共资源交易平台</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电子招标投标交易平台</w:t>
            </w:r>
          </w:p>
        </w:tc>
        <w:tc>
          <w:tcPr>
            <w:tcW w:w="720" w:type="dxa"/>
            <w:noWrap w:val="0"/>
            <w:vAlign w:val="center"/>
          </w:tcPr>
          <w:p>
            <w:pPr>
              <w:jc w:val="center"/>
              <w:rPr>
                <w:rFonts w:ascii="仿宋_GB2312" w:hAnsi="宋体" w:eastAsia="仿宋_GB2312"/>
                <w:sz w:val="18"/>
                <w:szCs w:val="18"/>
              </w:rPr>
            </w:pPr>
            <w:r>
              <w:rPr>
                <w:rFonts w:hint="eastAsia"/>
                <w:sz w:val="18"/>
                <w:szCs w:val="18"/>
              </w:rPr>
              <w:t>√</w:t>
            </w:r>
          </w:p>
        </w:tc>
        <w:tc>
          <w:tcPr>
            <w:tcW w:w="900" w:type="dxa"/>
            <w:noWrap w:val="0"/>
            <w:vAlign w:val="center"/>
          </w:tcPr>
          <w:p>
            <w:pPr>
              <w:jc w:val="center"/>
              <w:rPr>
                <w:rFonts w:ascii="仿宋_GB2312" w:hAnsi="宋体" w:eastAsia="仿宋_GB2312"/>
                <w:sz w:val="18"/>
                <w:szCs w:val="18"/>
              </w:rPr>
            </w:pPr>
            <w:r>
              <w:rPr>
                <w:rFonts w:hint="eastAsia"/>
                <w:sz w:val="18"/>
                <w:szCs w:val="18"/>
              </w:rPr>
              <w:t>　</w:t>
            </w:r>
          </w:p>
        </w:tc>
        <w:tc>
          <w:tcPr>
            <w:tcW w:w="788" w:type="dxa"/>
            <w:noWrap w:val="0"/>
            <w:vAlign w:val="center"/>
          </w:tcPr>
          <w:p>
            <w:pPr>
              <w:jc w:val="center"/>
              <w:rPr>
                <w:rFonts w:ascii="仿宋_GB2312" w:hAnsi="宋体" w:eastAsia="仿宋_GB2312"/>
                <w:sz w:val="18"/>
                <w:szCs w:val="18"/>
              </w:rPr>
            </w:pPr>
            <w:r>
              <w:rPr>
                <w:rFonts w:hint="eastAsia"/>
                <w:sz w:val="18"/>
                <w:szCs w:val="18"/>
              </w:rPr>
              <w:t>√</w:t>
            </w:r>
          </w:p>
        </w:tc>
        <w:tc>
          <w:tcPr>
            <w:tcW w:w="900" w:type="dxa"/>
            <w:noWrap w:val="0"/>
            <w:vAlign w:val="center"/>
          </w:tcPr>
          <w:p>
            <w:pP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540" w:type="dxa"/>
            <w:noWrap w:val="0"/>
            <w:vAlign w:val="center"/>
          </w:tcPr>
          <w:p>
            <w:pPr>
              <w:jc w:val="center"/>
              <w:rPr>
                <w:rFonts w:hint="eastAsia" w:ascii="仿宋_GB2312" w:hAnsi="宋体" w:eastAsia="仿宋_GB2312" w:cs="宋体"/>
                <w:sz w:val="18"/>
                <w:szCs w:val="18"/>
                <w:lang w:eastAsia="zh-CN"/>
              </w:rPr>
            </w:pPr>
            <w:r>
              <w:rPr>
                <w:rFonts w:hint="eastAsia" w:ascii="仿宋_GB2312" w:eastAsia="仿宋_GB2312"/>
                <w:sz w:val="18"/>
                <w:szCs w:val="18"/>
                <w:lang w:val="en-US" w:eastAsia="zh-CN"/>
              </w:rPr>
              <w:t>7</w:t>
            </w:r>
          </w:p>
        </w:tc>
        <w:tc>
          <w:tcPr>
            <w:tcW w:w="900" w:type="dxa"/>
            <w:vMerge w:val="continue"/>
            <w:noWrap w:val="0"/>
            <w:vAlign w:val="center"/>
          </w:tcPr>
          <w:p>
            <w:pPr>
              <w:jc w:val="center"/>
              <w:rPr>
                <w:rFonts w:hint="eastAsia" w:ascii="仿宋_GB2312" w:hAnsi="宋体" w:eastAsia="仿宋_GB2312" w:cs="宋体"/>
                <w:sz w:val="18"/>
                <w:szCs w:val="18"/>
              </w:rPr>
            </w:pPr>
          </w:p>
        </w:tc>
        <w:tc>
          <w:tcPr>
            <w:tcW w:w="776"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资格预审文件、招标文件澄清或修改</w:t>
            </w:r>
          </w:p>
        </w:tc>
        <w:tc>
          <w:tcPr>
            <w:tcW w:w="3364" w:type="dxa"/>
            <w:noWrap w:val="0"/>
            <w:vAlign w:val="center"/>
          </w:tcPr>
          <w:p>
            <w:pPr>
              <w:rPr>
                <w:rFonts w:hint="eastAsia" w:ascii="仿宋_GB2312" w:hAnsi="宋体" w:eastAsia="仿宋_GB2312" w:cs="宋体"/>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vMerge w:val="continue"/>
            <w:noWrap w:val="0"/>
            <w:vAlign w:val="center"/>
          </w:tcPr>
          <w:p>
            <w:pPr>
              <w:rPr>
                <w:rFonts w:hint="eastAsia" w:ascii="仿宋_GB2312" w:eastAsia="仿宋_GB2312"/>
                <w:sz w:val="18"/>
                <w:szCs w:val="18"/>
              </w:rPr>
            </w:pP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continue"/>
            <w:noWrap w:val="0"/>
            <w:vAlign w:val="center"/>
          </w:tcPr>
          <w:p>
            <w:pPr>
              <w:rPr>
                <w:rFonts w:ascii="Wingdings 2" w:hAnsi="Wingdings 2" w:cs="宋体"/>
                <w:sz w:val="18"/>
                <w:szCs w:val="18"/>
              </w:rPr>
            </w:pPr>
          </w:p>
        </w:tc>
        <w:tc>
          <w:tcPr>
            <w:tcW w:w="720" w:type="dxa"/>
            <w:noWrap w:val="0"/>
            <w:vAlign w:val="center"/>
          </w:tcPr>
          <w:p>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pPr>
              <w:rPr>
                <w:rFonts w:ascii="宋体" w:hAnsi="宋体" w:cs="宋体"/>
                <w:sz w:val="18"/>
                <w:szCs w:val="18"/>
              </w:rPr>
            </w:pPr>
            <w:r>
              <w:rPr>
                <w:rFonts w:hint="eastAsia" w:ascii="仿宋_GB2312" w:eastAsia="仿宋_GB2312"/>
                <w:sz w:val="18"/>
                <w:szCs w:val="18"/>
              </w:rPr>
              <w:t>　</w:t>
            </w:r>
          </w:p>
        </w:tc>
        <w:tc>
          <w:tcPr>
            <w:tcW w:w="788" w:type="dxa"/>
            <w:noWrap w:val="0"/>
            <w:vAlign w:val="center"/>
          </w:tcPr>
          <w:p>
            <w:pPr>
              <w:jc w:val="center"/>
              <w:rPr>
                <w:rFonts w:ascii="宋体" w:hAnsi="宋体" w:cs="宋体"/>
                <w:sz w:val="18"/>
                <w:szCs w:val="18"/>
              </w:rPr>
            </w:pPr>
            <w:r>
              <w:rPr>
                <w:rFonts w:hint="eastAsia" w:ascii="仿宋_GB2312" w:eastAsia="仿宋_GB2312"/>
                <w:sz w:val="18"/>
                <w:szCs w:val="18"/>
              </w:rPr>
              <w:t>√</w:t>
            </w:r>
          </w:p>
        </w:tc>
        <w:tc>
          <w:tcPr>
            <w:tcW w:w="900" w:type="dxa"/>
            <w:noWrap w:val="0"/>
            <w:vAlign w:val="center"/>
          </w:tcPr>
          <w:p>
            <w:pPr>
              <w:rPr>
                <w:rFonts w:ascii="宋体" w:hAnsi="宋体" w:cs="宋体"/>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8</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工程建设项目招标投标信息</w:t>
            </w: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招标公告和公示信息澄清、修改</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项目名称；标段名称；澄清或修改事项；招标人及其招标代理机构的名称、地址、联系人及联系方式。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■招标投标公共服务平台</w:t>
            </w:r>
            <w:r>
              <w:rPr>
                <w:rFonts w:ascii="仿宋_GB2312" w:hAnsi="宋体" w:eastAsia="仿宋_GB2312"/>
                <w:sz w:val="18"/>
                <w:szCs w:val="18"/>
              </w:rPr>
              <w:br w:type="textWrapping"/>
            </w:r>
            <w:r>
              <w:rPr>
                <w:rFonts w:hint="eastAsia" w:ascii="仿宋_GB2312" w:hAnsi="宋体" w:eastAsia="仿宋_GB2312"/>
                <w:sz w:val="18"/>
                <w:szCs w:val="18"/>
              </w:rPr>
              <w:t>■电子招标投标交易平台</w:t>
            </w:r>
            <w:r>
              <w:rPr>
                <w:rFonts w:ascii="仿宋_GB2312" w:hAnsi="宋体" w:eastAsia="仿宋_GB2312"/>
                <w:sz w:val="18"/>
                <w:szCs w:val="18"/>
              </w:rPr>
              <w:br w:type="textWrapping"/>
            </w:r>
            <w:r>
              <w:rPr>
                <w:rFonts w:hint="eastAsia" w:ascii="仿宋_GB2312" w:hAnsi="宋体" w:eastAsia="仿宋_GB2312"/>
                <w:sz w:val="18"/>
                <w:szCs w:val="18"/>
              </w:rPr>
              <w:t>■公共资源交易平台</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lang w:val="en-US" w:eastAsia="zh-CN"/>
              </w:rPr>
              <w:t>9</w:t>
            </w:r>
          </w:p>
        </w:tc>
        <w:tc>
          <w:tcPr>
            <w:tcW w:w="900" w:type="dxa"/>
            <w:vMerge w:val="restart"/>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暂停、终止招标</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招标人名称、招标项目名称、招标项目编号、本项目首次公告日期、招标暂停或终止原因、联系方式、其他事项。</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《招标公告和公示信息发布管理办法》）</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招标人或者其委托的招标代理机构</w:t>
            </w:r>
          </w:p>
        </w:tc>
        <w:tc>
          <w:tcPr>
            <w:tcW w:w="1856" w:type="dxa"/>
            <w:vMerge w:val="restart"/>
            <w:noWrap w:val="0"/>
            <w:vAlign w:val="center"/>
          </w:tcPr>
          <w:p>
            <w:pPr>
              <w:rPr>
                <w:rFonts w:ascii="仿宋_GB2312" w:hAnsi="宋体" w:eastAsia="仿宋_GB2312"/>
                <w:sz w:val="18"/>
                <w:szCs w:val="18"/>
              </w:rPr>
            </w:pPr>
            <w:r>
              <w:rPr>
                <w:rFonts w:hint="eastAsia" w:ascii="仿宋_GB2312" w:hAnsi="宋体" w:eastAsia="仿宋_GB2312"/>
                <w:sz w:val="18"/>
                <w:szCs w:val="18"/>
              </w:rPr>
              <w:t>■公共资源交易平台</w:t>
            </w:r>
            <w:r>
              <w:rPr>
                <w:rFonts w:hint="eastAsia"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eastAsia" w:ascii="仿宋_GB2312" w:eastAsia="仿宋_GB2312"/>
                <w:sz w:val="18"/>
                <w:szCs w:val="18"/>
                <w:lang w:eastAsia="zh-CN"/>
              </w:rPr>
            </w:pPr>
            <w:r>
              <w:rPr>
                <w:rFonts w:hint="eastAsia" w:ascii="仿宋_GB2312" w:eastAsia="仿宋_GB2312"/>
                <w:sz w:val="18"/>
                <w:szCs w:val="18"/>
              </w:rPr>
              <w:t>1</w:t>
            </w:r>
            <w:r>
              <w:rPr>
                <w:rFonts w:hint="eastAsia" w:ascii="仿宋_GB2312" w:eastAsia="仿宋_GB2312"/>
                <w:sz w:val="18"/>
                <w:szCs w:val="18"/>
                <w:lang w:val="en-US" w:eastAsia="zh-CN"/>
              </w:rPr>
              <w:t>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市场主体信用信息</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《行政处罚法》、《政府信息公开条例》、《国务院办公厅关于推进公共资源配置领域政府信息公开的意见》</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信息形成之日起20个工作日内</w:t>
            </w:r>
          </w:p>
        </w:tc>
        <w:tc>
          <w:tcPr>
            <w:tcW w:w="956" w:type="dxa"/>
            <w:noWrap w:val="0"/>
            <w:vAlign w:val="center"/>
          </w:tcPr>
          <w:p>
            <w:pPr>
              <w:rPr>
                <w:rFonts w:ascii="仿宋_GB2312" w:eastAsia="仿宋_GB2312"/>
                <w:sz w:val="18"/>
                <w:szCs w:val="18"/>
              </w:rPr>
            </w:pPr>
            <w:r>
              <w:rPr>
                <w:rFonts w:hint="eastAsia" w:ascii="仿宋_GB2312" w:eastAsia="仿宋_GB2312"/>
                <w:sz w:val="18"/>
                <w:szCs w:val="18"/>
              </w:rPr>
              <w:t>负责管理的部门分别公开</w:t>
            </w:r>
          </w:p>
        </w:tc>
        <w:tc>
          <w:tcPr>
            <w:tcW w:w="1856" w:type="dxa"/>
            <w:vMerge w:val="continue"/>
            <w:noWrap w:val="0"/>
            <w:vAlign w:val="center"/>
          </w:tcPr>
          <w:p>
            <w:pPr>
              <w:spacing w:line="240" w:lineRule="exact"/>
              <w:rPr>
                <w:rFonts w:ascii="仿宋_GB2312" w:eastAsia="仿宋_GB2312"/>
                <w:sz w:val="18"/>
                <w:szCs w:val="18"/>
              </w:rPr>
            </w:pPr>
          </w:p>
        </w:tc>
        <w:tc>
          <w:tcPr>
            <w:tcW w:w="720"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p>
        </w:tc>
        <w:tc>
          <w:tcPr>
            <w:tcW w:w="788" w:type="dxa"/>
            <w:noWrap w:val="0"/>
            <w:vAlign w:val="center"/>
          </w:tcPr>
          <w:p>
            <w:pPr>
              <w:jc w:val="center"/>
              <w:rPr>
                <w:rFonts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11</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招标公告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12</w:t>
            </w:r>
          </w:p>
          <w:p>
            <w:pPr>
              <w:jc w:val="center"/>
              <w:rPr>
                <w:rFonts w:hint="eastAsia" w:ascii="仿宋_GB2312" w:eastAsia="仿宋_GB2312"/>
                <w:sz w:val="18"/>
                <w:szCs w:val="18"/>
              </w:rPr>
            </w:pP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资格预审公告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《国务院办公厅关于推进公共资源配置领域政府信息公开的意见》、《政府采购货物和服务招标投标管理办法》、《财政部关于做好政府采购信息公开工作的通知》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及时公开，公告期限为5个工作日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13</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竞争性谈判公告、竞争性磋商公告和询价公告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及时公开，公告期限为3个工作日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restart"/>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14</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采购项目预算金额</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随采购公告、采购文件公开</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vMerge w:val="continue"/>
            <w:noWrap w:val="0"/>
            <w:vAlign w:val="center"/>
          </w:tcPr>
          <w:p>
            <w:pPr>
              <w:rPr>
                <w:rFonts w:ascii="仿宋_GB2312" w:eastAsia="仿宋_GB2312"/>
                <w:sz w:val="18"/>
                <w:szCs w:val="18"/>
              </w:rPr>
            </w:pP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15</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采购文件</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招标文件、竞争性谈判文件、竞争性磋商文件和询价通知书。</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随中标、成交结果同时公告。中标、成交结果公告前采购文件已公告的，不再重复公告</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16</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采购信息更正公告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采购人和采购代理机构名称、地址、联系方式；原公告的采购项目名称及首次公告日期；更正事项、内容及日期；采购项目联系人和电话。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投标截止时间至少15日前、提交资格预审申请文件截止时间至少3日前，或者提交首次响应文件截止之日3个工作日前</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17</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单一来源公示</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及时公开，公示期限不得少于5个工作日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18</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协议供货和定点采购的具体成交记录</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采购人和成交供应商的名称、成交金额以及成交标的的名称、规格型号、数量、单价等。电子卖场、电子商城、网上超市等的具体成交记录，也应当予以公开。</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《关于进一步做好政府采购信息公开工作有关事项的通知》</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集中采购机构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19</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中标、成交结果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left"/>
              <w:rPr>
                <w:rFonts w:hint="eastAsia" w:ascii="仿宋_GB2312" w:eastAsia="仿宋_GB2312"/>
                <w:sz w:val="18"/>
                <w:szCs w:val="18"/>
              </w:rPr>
            </w:pPr>
            <w:r>
              <w:rPr>
                <w:rFonts w:hint="eastAsia" w:ascii="仿宋_GB2312" w:eastAsia="仿宋_GB2312"/>
                <w:sz w:val="18"/>
                <w:szCs w:val="18"/>
              </w:rPr>
              <w:t>自中标、成交供应商确定之日起2个工作日内公告，公告期限为1个工作日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采购合同</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采购人和采购代理机构名称、地址、联系方式；采购项目名称、编号，合同编号；供应商名称；合同内容。</w:t>
            </w:r>
            <w:r>
              <w:rPr>
                <w:rFonts w:hint="eastAsia" w:ascii="仿宋_GB2312" w:eastAsia="仿宋_GB2312"/>
                <w:sz w:val="18"/>
                <w:szCs w:val="18"/>
              </w:rPr>
              <w:br w:type="textWrapping"/>
            </w:r>
            <w:r>
              <w:rPr>
                <w:rFonts w:hint="eastAsia" w:ascii="仿宋_GB2312" w:eastAsia="仿宋_GB2312"/>
                <w:sz w:val="18"/>
                <w:szCs w:val="18"/>
              </w:rP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合同签订之日起2个工作日内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spacing w:line="240" w:lineRule="exact"/>
              <w:jc w:val="center"/>
              <w:rPr>
                <w:rFonts w:hint="eastAsia" w:ascii="仿宋_GB2312" w:eastAsia="仿宋_GB2312"/>
                <w:sz w:val="18"/>
                <w:szCs w:val="18"/>
              </w:rPr>
            </w:pPr>
            <w:r>
              <w:rPr>
                <w:rFonts w:hint="eastAsia" w:ascii="仿宋_GB2312" w:hAnsi="宋体"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21</w:t>
            </w:r>
          </w:p>
        </w:tc>
        <w:tc>
          <w:tcPr>
            <w:tcW w:w="900" w:type="dxa"/>
            <w:vMerge w:val="restart"/>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终止公告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采购人和采购代理机构名称、地址、联系方式；采购项目名称、采购编号，采购方式；采购项目终止原因；公告期限；采购项目联系人和电话。</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采购人或者其委托的采购代理机构</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22</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公共服务项目采购需求</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采购对象需实现的功能或者目标，满足项目需要的所有技术、服务、安全等要求，采购对象的数量、交付或实施的时间和地点，采购对象的验收标准等。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《财政部关于做好政府采购信息公开工作的通知》、《关于进一步加强政府采购需求和履约验收管理的指导意见》</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及时公开</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23</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公共服务项目验收结果</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采购人和采购代理机构名称、地址、联系方式；采购项目名称、编号，合同编号；履约供应商名称；验收单位；验收结果；验收人员。</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《财政部关于做好政府采购信息公开工作的通知》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验收结束之日起2个工作日内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rPr>
              <w:t>采购人</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24</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政府采购信息</w:t>
            </w:r>
          </w:p>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sz w:val="18"/>
                <w:szCs w:val="18"/>
              </w:rPr>
              <w:t>投诉、监督检查等处理决定公告</w:t>
            </w:r>
          </w:p>
        </w:tc>
        <w:tc>
          <w:tcPr>
            <w:tcW w:w="3364" w:type="dxa"/>
            <w:noWrap w:val="0"/>
            <w:vAlign w:val="center"/>
          </w:tcPr>
          <w:p>
            <w:pPr>
              <w:rPr>
                <w:rFonts w:hint="eastAsia" w:ascii="仿宋_GB2312" w:eastAsia="仿宋_GB2312"/>
                <w:sz w:val="18"/>
                <w:szCs w:val="18"/>
              </w:rPr>
            </w:pPr>
            <w:r>
              <w:rPr>
                <w:rFonts w:hint="eastAsia" w:ascii="仿宋_GB2312" w:eastAsia="仿宋_GB2312"/>
                <w:sz w:val="18"/>
                <w:szCs w:val="18"/>
              </w:rPr>
              <w:t>相关当事人名称及地址、投诉涉及采购项目名称及采购日期、投诉事项或监督检查主要事项、处理依据、处理结果、执法机关名称、公告日期等。</w:t>
            </w:r>
          </w:p>
        </w:tc>
        <w:tc>
          <w:tcPr>
            <w:tcW w:w="2340" w:type="dxa"/>
            <w:noWrap w:val="0"/>
            <w:vAlign w:val="center"/>
          </w:tcPr>
          <w:p>
            <w:pPr>
              <w:rPr>
                <w:rFonts w:hint="eastAsia" w:ascii="仿宋_GB2312" w:eastAsia="仿宋_GB2312"/>
                <w:sz w:val="18"/>
                <w:szCs w:val="18"/>
              </w:rPr>
            </w:pPr>
            <w:r>
              <w:rPr>
                <w:rFonts w:hint="eastAsia" w:ascii="仿宋_GB2312" w:eastAsia="仿宋_GB2312"/>
                <w:sz w:val="18"/>
                <w:szCs w:val="18"/>
              </w:rPr>
              <w:t>《国务院办公厅关于推进公共资源配置领域政府信息公开的意见》、《财政部关于做好政府采购信息公开工作的通知》、《广东省财政厅关于做好我省政府采购信息公开工作的通知》</w:t>
            </w:r>
          </w:p>
        </w:tc>
        <w:tc>
          <w:tcPr>
            <w:tcW w:w="1620" w:type="dxa"/>
            <w:noWrap w:val="0"/>
            <w:vAlign w:val="center"/>
          </w:tcPr>
          <w:p>
            <w:pPr>
              <w:rPr>
                <w:rFonts w:hint="eastAsia" w:ascii="仿宋_GB2312" w:eastAsia="仿宋_GB2312"/>
                <w:sz w:val="18"/>
                <w:szCs w:val="18"/>
              </w:rPr>
            </w:pPr>
            <w:r>
              <w:rPr>
                <w:rFonts w:hint="eastAsia" w:ascii="仿宋_GB2312" w:eastAsia="仿宋_GB2312"/>
                <w:sz w:val="18"/>
                <w:szCs w:val="18"/>
              </w:rPr>
              <w:t>完成并履行有关报审程序后5个工作日内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sz w:val="18"/>
                <w:szCs w:val="18"/>
                <w:lang w:eastAsia="zh-CN"/>
              </w:rPr>
              <w:t>霞山区</w:t>
            </w:r>
            <w:r>
              <w:rPr>
                <w:rFonts w:hint="eastAsia" w:ascii="仿宋_GB2312" w:eastAsia="仿宋_GB2312"/>
                <w:sz w:val="18"/>
                <w:szCs w:val="18"/>
              </w:rPr>
              <w:t>财政局</w:t>
            </w:r>
          </w:p>
        </w:tc>
        <w:tc>
          <w:tcPr>
            <w:tcW w:w="1856" w:type="dxa"/>
            <w:noWrap w:val="0"/>
            <w:vAlign w:val="center"/>
          </w:tcPr>
          <w:p>
            <w:pPr>
              <w:spacing w:line="240" w:lineRule="exact"/>
              <w:rPr>
                <w:rFonts w:ascii="仿宋_GB2312" w:eastAsia="仿宋_GB2312"/>
                <w:sz w:val="18"/>
                <w:szCs w:val="18"/>
              </w:rPr>
            </w:pPr>
            <w:r>
              <w:rPr>
                <w:rFonts w:hint="eastAsia" w:ascii="仿宋_GB2312" w:hAnsi="宋体" w:eastAsia="仿宋_GB2312"/>
                <w:sz w:val="18"/>
                <w:szCs w:val="18"/>
              </w:rPr>
              <w:t>■</w:t>
            </w:r>
            <w:r>
              <w:rPr>
                <w:rFonts w:hint="eastAsia" w:ascii="仿宋_GB2312" w:eastAsia="仿宋_GB2312"/>
                <w:sz w:val="18"/>
                <w:szCs w:val="18"/>
              </w:rPr>
              <w:t>中国政府采购网及其地方分网</w:t>
            </w:r>
            <w:r>
              <w:rPr>
                <w:rFonts w:ascii="仿宋_GB2312" w:eastAsia="仿宋_GB2312"/>
                <w:sz w:val="18"/>
                <w:szCs w:val="18"/>
              </w:rPr>
              <w:br w:type="textWrapping"/>
            </w:r>
            <w:r>
              <w:rPr>
                <w:rFonts w:hint="eastAsia" w:ascii="仿宋_GB2312" w:hAnsi="宋体" w:eastAsia="仿宋_GB2312"/>
                <w:sz w:val="18"/>
                <w:szCs w:val="18"/>
              </w:rPr>
              <w:t>■</w:t>
            </w:r>
            <w:r>
              <w:rPr>
                <w:rFonts w:hint="eastAsia" w:ascii="仿宋_GB2312" w:eastAsia="仿宋_GB2312"/>
                <w:sz w:val="18"/>
                <w:szCs w:val="18"/>
              </w:rPr>
              <w:t>省级（含计划单列市）财政部门指定的媒体</w:t>
            </w:r>
            <w:r>
              <w:rPr>
                <w:rFonts w:ascii="仿宋_GB2312" w:eastAsia="仿宋_GB2312"/>
                <w:sz w:val="18"/>
                <w:szCs w:val="18"/>
              </w:rPr>
              <w:br w:type="textWrapping"/>
            </w:r>
            <w:r>
              <w:rPr>
                <w:rFonts w:hint="eastAsia" w:ascii="仿宋_GB2312" w:eastAsia="仿宋_GB2312"/>
                <w:sz w:val="18"/>
                <w:szCs w:val="18"/>
              </w:rPr>
              <w:t>(广东省政府采购网)</w:t>
            </w:r>
            <w:r>
              <w:rPr>
                <w:rFonts w:ascii="仿宋_GB2312" w:hAnsi="宋体" w:eastAsia="仿宋_GB2312"/>
                <w:sz w:val="18"/>
                <w:szCs w:val="18"/>
              </w:rPr>
              <w:br w:type="textWrapping"/>
            </w:r>
            <w:r>
              <w:rPr>
                <w:rFonts w:hint="eastAsia" w:ascii="仿宋_GB2312" w:hAnsi="宋体" w:eastAsia="仿宋_GB2312"/>
                <w:sz w:val="18"/>
                <w:szCs w:val="18"/>
              </w:rPr>
              <w:t>■信用中国</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ascii="仿宋_GB2312" w:eastAsia="仿宋_GB2312"/>
                <w:sz w:val="18"/>
                <w:szCs w:val="18"/>
              </w:rPr>
            </w:pPr>
            <w:r>
              <w:rPr>
                <w:rFonts w:hint="eastAsia" w:ascii="仿宋_GB2312" w:eastAsia="仿宋_GB2312"/>
                <w:sz w:val="18"/>
                <w:szCs w:val="18"/>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25</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土地出让计划</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明确国有建设用地供应指导思想和原则；提出国有建设用地供应政策导向；确定国有建设用地供应总量、结构、布局、时序和方式；落实计划供应的宗地；实施计划的保障措施。</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《国务院办公厅关于推进公共资源配置领域政府信息公开的意见》、《招标拍卖挂牌出让国有建设用地使用权规定》、《国有建设用地供应计划编制规范》（试行）</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每年3月31日前，公布年度国有建设用地供应计划</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26</w:t>
            </w:r>
          </w:p>
        </w:tc>
        <w:tc>
          <w:tcPr>
            <w:tcW w:w="900" w:type="dxa"/>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至少在投标、拍卖或者挂牌开始日前20日。挂牌时间不得少于10日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27</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28</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29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30</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公告调整</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公开国有建设用地使用权出让公告、项目概况、澄清或者修改事项、联系方式。</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《招标拍卖挂牌出让国有土地使用权规范》</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按原公告发布渠道及时发布补充公告，涉及土地使用条件变更等影响土地价格的重大变动，补充公告发布时间距招拍挂活动开始时间少于20日的，招拍挂活动相应顺延</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中国土地市场网或者土地有形市场等指定场所</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31</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招标拍卖挂牌出让结果（成交公示）</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土地位置、面积、用途、开发程度、土地级别、容积率、出让年限、供地方式、受让人、成交价格和成交时间等。</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《国务院办公厅关于推进公共资源配置领域政府信息公开的意见》、《招标拍卖挂牌出让国有建设用地使用权规定》、《招标拍卖挂牌出让国有土地使用权规范》</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招标拍卖挂牌活动结束后的10个工作日内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土地有形市场或者指定的场所、媒介（一般指中国土地市场网、当地政府媒介）</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32</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供应结果</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国有建设用地使用权年度供应结果。</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w:t>
            </w:r>
          </w:p>
        </w:tc>
        <w:tc>
          <w:tcPr>
            <w:tcW w:w="16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及时公开</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33</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国有土地使用权出让信息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招标拍卖挂牌出让公告</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《国务院办公厅关于推进公共资源配置领域政府信息公开的意见》、国土资源部关于印发矿业权交易规则》的通知、《自然资源部关于调整&lt;矿业权交易规则&gt;有关规定的通知》</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在投标截止日、公开拍卖日或者挂牌起始日20个工作日前发布。挂牌时间不得少于10个工作日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eastAsia="仿宋_GB2312"/>
                <w:color w:val="000000"/>
                <w:sz w:val="18"/>
                <w:szCs w:val="18"/>
                <w:highlight w:val="none"/>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hint="eastAsia"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p>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hint="eastAsia"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hint="eastAsia" w:ascii="仿宋_GB2312" w:eastAsia="仿宋_GB2312"/>
                <w:color w:val="000000"/>
                <w:sz w:val="18"/>
                <w:szCs w:val="18"/>
                <w:highlight w:val="none"/>
              </w:rPr>
              <w:br w:type="textWrapping"/>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34</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招标拍卖挂牌成交结果公示</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《国务院办公厅关于推进公共资源配置领域政府信息公开的意见》、国土资源部关于印发矿业权交易规则》的通知</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发出中标通知书或者签订成交确认书后5个工作日内进行信息公示。公示期不少于10个工作日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w:t>
            </w:r>
            <w:r>
              <w:rPr>
                <w:rFonts w:hint="eastAsia" w:ascii="仿宋_GB2312" w:eastAsia="仿宋_GB2312"/>
                <w:color w:val="000000"/>
                <w:sz w:val="18"/>
                <w:szCs w:val="18"/>
                <w:highlight w:val="none"/>
                <w:shd w:val="clear" w:color="auto" w:fill="auto"/>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r>
              <w:rPr>
                <w:rFonts w:ascii="仿宋_GB2312" w:eastAsia="仿宋_GB2312"/>
                <w:color w:val="000000"/>
                <w:sz w:val="18"/>
                <w:szCs w:val="18"/>
                <w:highlight w:val="none"/>
              </w:rPr>
              <w:br w:type="textWrapping"/>
            </w:r>
            <w:r>
              <w:rPr>
                <w:rFonts w:hint="eastAsia" w:ascii="仿宋_GB2312" w:eastAsia="仿宋_GB2312"/>
                <w:color w:val="000000"/>
                <w:sz w:val="18"/>
                <w:szCs w:val="18"/>
                <w:highlight w:val="none"/>
              </w:rPr>
              <w:t>在下列平台同时发布：</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自然资源部门户网站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同级自然资源主管部门门户网站</w:t>
            </w:r>
            <w:r>
              <w:rPr>
                <w:rFonts w:ascii="仿宋_GB2312" w:eastAsia="仿宋_GB2312"/>
                <w:color w:val="000000"/>
                <w:sz w:val="18"/>
                <w:szCs w:val="18"/>
                <w:highlight w:val="none"/>
              </w:rPr>
              <w:br w:type="textWrapping"/>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35</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矿业权出让信息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审批结果信息</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每个项目的审批结果信息（交易完成后由各级自然资源管理部门审批）。</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《政府信息公开条例》、《国务院办公厅关于推进公共资源配置领域政府信息公开的意见》</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信息形成之日起20个工作日内</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36</w:t>
            </w:r>
          </w:p>
        </w:tc>
        <w:tc>
          <w:tcPr>
            <w:tcW w:w="900" w:type="dxa"/>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项目信息</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公告有效期内矿业权基本信息包括矿业权名称、许可证号、矿业权人、矿种、有效期限。</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《政府信息公开条例》、《国务院办公厅关于推进公共资源配置领域政府信息公开的意见》</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每年一季度集中公告</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霞山区自然资源局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各级自然资源管理部门网站</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37</w:t>
            </w:r>
          </w:p>
        </w:tc>
        <w:tc>
          <w:tcPr>
            <w:tcW w:w="90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国有企业产权转让信息预披露</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38</w:t>
            </w:r>
          </w:p>
        </w:tc>
        <w:tc>
          <w:tcPr>
            <w:tcW w:w="900" w:type="dxa"/>
            <w:vMerge w:val="restart"/>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国有产权交易信息</w:t>
            </w: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国有企业产权转让信息披露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及时公开，正式披露信息时间不得少于20个工作日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39</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国有企业产权转让成交公告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交易标的名称、转让标的评估结果、转让底价、交易价格。</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及时公开，公告期不少于5个工作日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40</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国有企业资产转让信息披露</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标的基本情况、交易条件、转让底价、竞价方式、受让方选择的相关评判标准等。</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转让底价高于100万元、低于1000万元的资产转让项目，信息公告期应不少于10个工作日；转让底价高于1000万元的资产转让项目，信息公告期应不少于20个工作日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540" w:type="dxa"/>
            <w:noWrap w:val="0"/>
            <w:vAlign w:val="center"/>
          </w:tcPr>
          <w:p>
            <w:pPr>
              <w:jc w:val="center"/>
              <w:rPr>
                <w:rFonts w:hint="default" w:ascii="仿宋_GB2312" w:eastAsia="仿宋_GB2312"/>
                <w:sz w:val="18"/>
                <w:szCs w:val="18"/>
                <w:lang w:val="en-US" w:eastAsia="zh-CN"/>
              </w:rPr>
            </w:pPr>
            <w:r>
              <w:rPr>
                <w:rFonts w:hint="eastAsia" w:ascii="仿宋_GB2312" w:eastAsia="仿宋_GB2312"/>
                <w:sz w:val="18"/>
                <w:szCs w:val="18"/>
                <w:lang w:val="en-US" w:eastAsia="zh-CN"/>
              </w:rPr>
              <w:t>41</w:t>
            </w:r>
          </w:p>
        </w:tc>
        <w:tc>
          <w:tcPr>
            <w:tcW w:w="900" w:type="dxa"/>
            <w:vMerge w:val="continue"/>
            <w:noWrap w:val="0"/>
            <w:vAlign w:val="center"/>
          </w:tcPr>
          <w:p>
            <w:pPr>
              <w:jc w:val="center"/>
              <w:rPr>
                <w:rFonts w:hint="eastAsia" w:ascii="仿宋_GB2312" w:eastAsia="仿宋_GB2312"/>
                <w:sz w:val="18"/>
                <w:szCs w:val="18"/>
              </w:rPr>
            </w:pPr>
          </w:p>
        </w:tc>
        <w:tc>
          <w:tcPr>
            <w:tcW w:w="77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国有企业资产转让成交公告</w:t>
            </w:r>
          </w:p>
        </w:tc>
        <w:tc>
          <w:tcPr>
            <w:tcW w:w="3364"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交易标的名称、评估价格、转让底价、交易价格等。</w:t>
            </w:r>
          </w:p>
        </w:tc>
        <w:tc>
          <w:tcPr>
            <w:tcW w:w="234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《国务院办公厅关于推进公共资源配置领域政府信息公开的意见》、《企业国有资产交易监督管理办法》</w:t>
            </w:r>
          </w:p>
        </w:tc>
        <w:tc>
          <w:tcPr>
            <w:tcW w:w="162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不少于5个工作日</w:t>
            </w:r>
          </w:p>
        </w:tc>
        <w:tc>
          <w:tcPr>
            <w:tcW w:w="956"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lang w:eastAsia="zh-CN"/>
              </w:rPr>
              <w:t>霞山区</w:t>
            </w:r>
            <w:r>
              <w:rPr>
                <w:rFonts w:hint="eastAsia" w:ascii="仿宋_GB2312" w:eastAsia="仿宋_GB2312"/>
                <w:color w:val="000000"/>
                <w:sz w:val="18"/>
                <w:szCs w:val="18"/>
                <w:highlight w:val="none"/>
              </w:rPr>
              <w:t>自然资源</w:t>
            </w:r>
            <w:r>
              <w:rPr>
                <w:rFonts w:hint="eastAsia" w:ascii="仿宋_GB2312" w:eastAsia="仿宋_GB2312"/>
                <w:color w:val="000000"/>
                <w:sz w:val="18"/>
                <w:szCs w:val="18"/>
                <w:highlight w:val="none"/>
                <w:lang w:eastAsia="zh-CN"/>
              </w:rPr>
              <w:t>局</w:t>
            </w:r>
          </w:p>
        </w:tc>
        <w:tc>
          <w:tcPr>
            <w:tcW w:w="1856" w:type="dxa"/>
            <w:noWrap w:val="0"/>
            <w:vAlign w:val="center"/>
          </w:tcPr>
          <w:p>
            <w:pPr>
              <w:rPr>
                <w:rFonts w:hint="eastAsia" w:ascii="仿宋_GB2312" w:hAnsi="宋体" w:eastAsia="仿宋_GB2312"/>
                <w:sz w:val="18"/>
                <w:szCs w:val="18"/>
              </w:rPr>
            </w:pP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产权交易机构网站</w:t>
            </w:r>
            <w:r>
              <w:rPr>
                <w:rFonts w:ascii="仿宋_GB2312" w:eastAsia="仿宋_GB2312"/>
                <w:color w:val="000000"/>
                <w:sz w:val="18"/>
                <w:szCs w:val="18"/>
                <w:highlight w:val="none"/>
              </w:rPr>
              <w:br w:type="textWrapping"/>
            </w:r>
            <w:r>
              <w:rPr>
                <w:rFonts w:hint="eastAsia" w:ascii="仿宋_GB2312" w:hAnsi="宋体" w:eastAsia="仿宋_GB2312"/>
                <w:color w:val="000000"/>
                <w:sz w:val="18"/>
                <w:szCs w:val="18"/>
                <w:highlight w:val="none"/>
              </w:rPr>
              <w:t>■</w:t>
            </w:r>
            <w:r>
              <w:rPr>
                <w:rFonts w:hint="eastAsia" w:ascii="仿宋_GB2312" w:eastAsia="仿宋_GB2312"/>
                <w:color w:val="000000"/>
                <w:sz w:val="18"/>
                <w:szCs w:val="18"/>
                <w:highlight w:val="none"/>
              </w:rPr>
              <w:t>公共资源交易平台</w:t>
            </w:r>
          </w:p>
        </w:tc>
        <w:tc>
          <w:tcPr>
            <w:tcW w:w="720"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c>
          <w:tcPr>
            <w:tcW w:w="788" w:type="dxa"/>
            <w:noWrap w:val="0"/>
            <w:vAlign w:val="center"/>
          </w:tcPr>
          <w:p>
            <w:pPr>
              <w:jc w:val="center"/>
              <w:rPr>
                <w:rFonts w:hint="eastAsia" w:ascii="仿宋_GB2312" w:eastAsia="仿宋_GB2312"/>
                <w:sz w:val="18"/>
                <w:szCs w:val="18"/>
              </w:rPr>
            </w:pPr>
            <w:r>
              <w:rPr>
                <w:rFonts w:hint="eastAsia" w:ascii="仿宋_GB2312" w:eastAsia="仿宋_GB2312"/>
                <w:color w:val="000000"/>
                <w:sz w:val="18"/>
                <w:szCs w:val="18"/>
                <w:highlight w:val="none"/>
              </w:rPr>
              <w:t>√</w:t>
            </w:r>
          </w:p>
        </w:tc>
        <w:tc>
          <w:tcPr>
            <w:tcW w:w="900" w:type="dxa"/>
            <w:noWrap w:val="0"/>
            <w:vAlign w:val="center"/>
          </w:tcPr>
          <w:p>
            <w:pPr>
              <w:rPr>
                <w:rFonts w:hint="eastAsia" w:ascii="仿宋_GB2312" w:eastAsia="仿宋_GB2312"/>
                <w:sz w:val="18"/>
                <w:szCs w:val="18"/>
              </w:rPr>
            </w:pPr>
            <w:r>
              <w:rPr>
                <w:rFonts w:hint="eastAsia" w:ascii="仿宋_GB2312" w:eastAsia="仿宋_GB2312"/>
                <w:color w:val="000000"/>
                <w:sz w:val="18"/>
                <w:szCs w:val="18"/>
                <w:highlight w:val="none"/>
              </w:rPr>
              <w:t>　</w:t>
            </w:r>
          </w:p>
        </w:tc>
      </w:tr>
    </w:tbl>
    <w:p>
      <w:pPr>
        <w:rPr>
          <w:rFonts w:ascii="仿宋_GB2312" w:eastAsia="仿宋_GB2312"/>
          <w:sz w:val="18"/>
          <w:szCs w:val="18"/>
        </w:rPr>
      </w:pPr>
    </w:p>
    <w:p>
      <w:pPr>
        <w:jc w:val="center"/>
        <w:rPr>
          <w:rFonts w:hint="eastAsia" w:ascii="Times New Roman" w:hAnsi="Times New Roman" w:eastAsia="方正小标宋_GBK"/>
          <w:sz w:val="30"/>
          <w:szCs w:val="30"/>
        </w:rPr>
      </w:pPr>
    </w:p>
    <w:p>
      <w:pPr>
        <w:jc w:val="center"/>
        <w:rPr>
          <w:rFonts w:hint="eastAsia" w:ascii="Times New Roman" w:hAnsi="Times New Roman" w:eastAsia="方正小标宋_GBK"/>
          <w:sz w:val="30"/>
          <w:szCs w:val="3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C3289"/>
    <w:rsid w:val="013924F9"/>
    <w:rsid w:val="08A106F6"/>
    <w:rsid w:val="0DC011D5"/>
    <w:rsid w:val="1D382974"/>
    <w:rsid w:val="1DB56350"/>
    <w:rsid w:val="26AB634B"/>
    <w:rsid w:val="463D147A"/>
    <w:rsid w:val="4CE47EF7"/>
    <w:rsid w:val="4E215FC7"/>
    <w:rsid w:val="5E7C3289"/>
    <w:rsid w:val="60D839D2"/>
    <w:rsid w:val="658E1326"/>
    <w:rsid w:val="6A7478E1"/>
    <w:rsid w:val="6AF472B5"/>
    <w:rsid w:val="73D2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2020-08-20T07:33:00Z</dcterms:created>
  <dc:creator>春节快乐</dc:creator>
  <cp:lastModifiedBy>邱涛</cp:lastModifiedBy>
  <dcterms:modified xsi:type="dcterms:W3CDTF">2020-12-18T02:34:49Z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