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End w:id="1"/>
      <w:bookmarkStart w:id="0" w:name="_Toc24724705"/>
      <w:r>
        <w:rPr>
          <w:rFonts w:hint="eastAsia" w:ascii="方正小标宋_GBK" w:hAnsi="方正小标宋_GBK" w:eastAsia="方正小标宋_GBK"/>
          <w:b w:val="0"/>
          <w:bCs w:val="0"/>
          <w:sz w:val="30"/>
        </w:rPr>
        <w:t>（二）公共资源交易领域基层政务公开标准目录</w:t>
      </w:r>
      <w:bookmarkEnd w:id="0"/>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kern w:val="0"/>
                <w:sz w:val="22"/>
              </w:rPr>
              <w:t>序号</w:t>
            </w:r>
          </w:p>
        </w:tc>
        <w:tc>
          <w:tcPr>
            <w:tcW w:w="1676" w:type="dxa"/>
            <w:gridSpan w:val="2"/>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公开事项</w:t>
            </w:r>
          </w:p>
        </w:tc>
        <w:tc>
          <w:tcPr>
            <w:tcW w:w="3364"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公开内容（要素）</w:t>
            </w:r>
          </w:p>
        </w:tc>
        <w:tc>
          <w:tcPr>
            <w:tcW w:w="234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公开依据</w:t>
            </w:r>
          </w:p>
        </w:tc>
        <w:tc>
          <w:tcPr>
            <w:tcW w:w="1620"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hint="eastAsia" w:ascii="黑体" w:hAnsi="宋体" w:eastAsia="黑体" w:cs="宋体"/>
                <w:kern w:val="0"/>
                <w:sz w:val="22"/>
              </w:rPr>
            </w:pPr>
            <w:r>
              <w:rPr>
                <w:rFonts w:hint="eastAsia" w:ascii="黑体" w:hAnsi="宋体" w:eastAsia="黑体" w:cs="宋体"/>
                <w:kern w:val="0"/>
                <w:sz w:val="22"/>
              </w:rPr>
              <w:t>时限</w:t>
            </w:r>
          </w:p>
        </w:tc>
        <w:tc>
          <w:tcPr>
            <w:tcW w:w="95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w:t>
            </w:r>
          </w:p>
          <w:p>
            <w:pPr>
              <w:widowControl/>
              <w:jc w:val="center"/>
              <w:rPr>
                <w:rFonts w:ascii="黑体" w:hAnsi="宋体" w:eastAsia="黑体" w:cs="宋体"/>
                <w:kern w:val="0"/>
                <w:sz w:val="22"/>
              </w:rPr>
            </w:pPr>
            <w:r>
              <w:rPr>
                <w:rFonts w:hint="eastAsia" w:ascii="黑体" w:hAnsi="宋体" w:eastAsia="黑体" w:cs="宋体"/>
                <w:kern w:val="0"/>
                <w:sz w:val="22"/>
              </w:rPr>
              <w:t>主体</w:t>
            </w:r>
          </w:p>
        </w:tc>
        <w:tc>
          <w:tcPr>
            <w:tcW w:w="18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62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688"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一级事项</w:t>
            </w:r>
          </w:p>
        </w:tc>
        <w:tc>
          <w:tcPr>
            <w:tcW w:w="776" w:type="dxa"/>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二级事项</w:t>
            </w:r>
          </w:p>
        </w:tc>
        <w:tc>
          <w:tcPr>
            <w:tcW w:w="3364" w:type="dxa"/>
            <w:vMerge w:val="continue"/>
            <w:noWrap w:val="0"/>
            <w:vAlign w:val="center"/>
          </w:tcPr>
          <w:p>
            <w:pPr>
              <w:widowControl/>
              <w:jc w:val="left"/>
              <w:rPr>
                <w:rFonts w:hint="eastAsia" w:ascii="黑体" w:hAnsi="宋体" w:eastAsia="黑体" w:cs="宋体"/>
                <w:kern w:val="0"/>
                <w:sz w:val="22"/>
              </w:rPr>
            </w:pPr>
          </w:p>
        </w:tc>
        <w:tc>
          <w:tcPr>
            <w:tcW w:w="2340" w:type="dxa"/>
            <w:vMerge w:val="continue"/>
            <w:noWrap w:val="0"/>
            <w:vAlign w:val="center"/>
          </w:tcPr>
          <w:p>
            <w:pPr>
              <w:widowControl/>
              <w:jc w:val="left"/>
              <w:rPr>
                <w:rFonts w:hint="eastAsia" w:ascii="黑体" w:hAnsi="宋体" w:eastAsia="黑体" w:cs="宋体"/>
                <w:kern w:val="0"/>
                <w:sz w:val="22"/>
              </w:rPr>
            </w:pPr>
          </w:p>
        </w:tc>
        <w:tc>
          <w:tcPr>
            <w:tcW w:w="1620" w:type="dxa"/>
            <w:vMerge w:val="continue"/>
            <w:noWrap w:val="0"/>
            <w:vAlign w:val="center"/>
          </w:tcPr>
          <w:p>
            <w:pPr>
              <w:widowControl/>
              <w:jc w:val="left"/>
              <w:rPr>
                <w:rFonts w:hint="eastAsia" w:ascii="黑体" w:hAnsi="宋体" w:eastAsia="黑体" w:cs="宋体"/>
                <w:kern w:val="0"/>
                <w:sz w:val="22"/>
              </w:rPr>
            </w:pPr>
          </w:p>
        </w:tc>
        <w:tc>
          <w:tcPr>
            <w:tcW w:w="956" w:type="dxa"/>
            <w:vMerge w:val="continue"/>
            <w:noWrap w:val="0"/>
            <w:vAlign w:val="center"/>
          </w:tcPr>
          <w:p>
            <w:pPr>
              <w:widowControl/>
              <w:jc w:val="left"/>
              <w:rPr>
                <w:rFonts w:ascii="黑体" w:hAnsi="宋体" w:eastAsia="黑体" w:cs="宋体"/>
                <w:kern w:val="0"/>
                <w:sz w:val="22"/>
              </w:rPr>
            </w:pPr>
          </w:p>
        </w:tc>
        <w:tc>
          <w:tcPr>
            <w:tcW w:w="18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788"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1</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2</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3</w:t>
            </w:r>
          </w:p>
        </w:tc>
        <w:tc>
          <w:tcPr>
            <w:tcW w:w="90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restart"/>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sz w:val="18"/>
                <w:szCs w:val="18"/>
                <w:lang w:val="en-US" w:eastAsia="zh-CN"/>
              </w:rPr>
              <w:t>4</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中标结果</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招标项目名称、中标人名称、中标价、工期、项目负责人、中标内容。</w:t>
            </w:r>
          </w:p>
        </w:tc>
        <w:tc>
          <w:tcPr>
            <w:tcW w:w="2340" w:type="dxa"/>
            <w:vMerge w:val="continue"/>
            <w:noWrap w:val="0"/>
            <w:vAlign w:val="center"/>
          </w:tcPr>
          <w:p>
            <w:pPr>
              <w:rPr>
                <w:rFonts w:hint="eastAsia" w:ascii="仿宋_GB2312" w:hAnsi="宋体" w:eastAsia="仿宋_GB2312"/>
                <w:sz w:val="18"/>
                <w:szCs w:val="18"/>
              </w:rPr>
            </w:pP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sz w:val="18"/>
                <w:szCs w:val="18"/>
                <w:lang w:eastAsia="zh-CN"/>
              </w:rPr>
            </w:pPr>
            <w:r>
              <w:rPr>
                <w:rFonts w:hint="eastAsia" w:ascii="仿宋_GB2312" w:eastAsia="仿宋_GB2312"/>
                <w:sz w:val="18"/>
                <w:szCs w:val="18"/>
                <w:lang w:val="en-US" w:eastAsia="zh-CN"/>
              </w:rPr>
              <w:t>5</w:t>
            </w:r>
          </w:p>
        </w:tc>
        <w:tc>
          <w:tcPr>
            <w:tcW w:w="900" w:type="dxa"/>
            <w:vMerge w:val="restart"/>
            <w:noWrap w:val="0"/>
            <w:vAlign w:val="center"/>
          </w:tcPr>
          <w:p>
            <w:pPr>
              <w:jc w:val="center"/>
              <w:rPr>
                <w:rFonts w:hint="eastAsia" w:ascii="仿宋_GB2312" w:hAnsi="宋体"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合同订立信息</w:t>
            </w:r>
          </w:p>
        </w:tc>
        <w:tc>
          <w:tcPr>
            <w:tcW w:w="336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noWrap w:val="0"/>
            <w:vAlign w:val="center"/>
          </w:tcPr>
          <w:p>
            <w:pPr>
              <w:rPr>
                <w:rFonts w:hint="eastAsia" w:ascii="仿宋_GB2312" w:hAnsi="宋体"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eastAsia="仿宋_GB2312"/>
                <w:sz w:val="18"/>
                <w:szCs w:val="18"/>
              </w:rPr>
              <w:t>合同当事人</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6</w:t>
            </w:r>
          </w:p>
        </w:tc>
        <w:tc>
          <w:tcPr>
            <w:tcW w:w="900" w:type="dxa"/>
            <w:vMerge w:val="continue"/>
            <w:noWrap w:val="0"/>
            <w:vAlign w:val="center"/>
          </w:tcPr>
          <w:p>
            <w:pPr>
              <w:jc w:val="center"/>
              <w:rPr>
                <w:rFonts w:hint="eastAsia" w:ascii="仿宋_GB2312" w:hAnsi="宋体" w:eastAsia="仿宋_GB2312"/>
                <w:sz w:val="18"/>
                <w:szCs w:val="18"/>
              </w:rPr>
            </w:pPr>
          </w:p>
        </w:tc>
        <w:tc>
          <w:tcPr>
            <w:tcW w:w="776" w:type="dxa"/>
            <w:noWrap w:val="0"/>
            <w:vAlign w:val="center"/>
          </w:tcPr>
          <w:p>
            <w:pPr>
              <w:rPr>
                <w:rFonts w:hint="eastAsia" w:ascii="仿宋_GB2312" w:hAnsi="宋体" w:eastAsia="仿宋_GB2312"/>
                <w:sz w:val="18"/>
                <w:szCs w:val="18"/>
              </w:rPr>
            </w:pPr>
            <w:r>
              <w:rPr>
                <w:rFonts w:hint="eastAsia" w:ascii="仿宋_GB2312" w:eastAsia="仿宋_GB2312"/>
                <w:sz w:val="18"/>
                <w:szCs w:val="18"/>
              </w:rPr>
              <w:t>合同履行及变更信息</w:t>
            </w:r>
          </w:p>
        </w:tc>
        <w:tc>
          <w:tcPr>
            <w:tcW w:w="3364" w:type="dxa"/>
            <w:noWrap w:val="0"/>
            <w:vAlign w:val="center"/>
          </w:tcPr>
          <w:p>
            <w:pPr>
              <w:rPr>
                <w:rFonts w:hint="eastAsia" w:ascii="仿宋_GB2312" w:hAnsi="宋体" w:eastAsia="仿宋_GB2312"/>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340" w:type="dxa"/>
            <w:vMerge w:val="restart"/>
            <w:noWrap w:val="0"/>
            <w:vAlign w:val="center"/>
          </w:tcPr>
          <w:p>
            <w:pP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鼓励及时公开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restart"/>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sz w:val="18"/>
                <w:szCs w:val="18"/>
              </w:rPr>
              <w:t>√</w:t>
            </w:r>
          </w:p>
        </w:tc>
        <w:tc>
          <w:tcPr>
            <w:tcW w:w="900" w:type="dxa"/>
            <w:noWrap w:val="0"/>
            <w:vAlign w:val="center"/>
          </w:tcPr>
          <w:p>
            <w:pPr>
              <w:jc w:val="center"/>
              <w:rPr>
                <w:rFonts w:ascii="仿宋_GB2312" w:hAnsi="宋体" w:eastAsia="仿宋_GB2312"/>
                <w:sz w:val="18"/>
                <w:szCs w:val="18"/>
              </w:rPr>
            </w:pPr>
            <w:r>
              <w:rPr>
                <w:rFonts w:hint="eastAsia"/>
                <w:sz w:val="18"/>
                <w:szCs w:val="18"/>
              </w:rPr>
              <w:t>　</w:t>
            </w:r>
          </w:p>
        </w:tc>
        <w:tc>
          <w:tcPr>
            <w:tcW w:w="788" w:type="dxa"/>
            <w:noWrap w:val="0"/>
            <w:vAlign w:val="center"/>
          </w:tcPr>
          <w:p>
            <w:pPr>
              <w:jc w:val="center"/>
              <w:rPr>
                <w:rFonts w:ascii="仿宋_GB2312" w:hAnsi="宋体" w:eastAsia="仿宋_GB2312"/>
                <w:sz w:val="18"/>
                <w:szCs w:val="18"/>
              </w:rPr>
            </w:pPr>
            <w:r>
              <w:rPr>
                <w:rFonts w:hint="eastAsia"/>
                <w:sz w:val="18"/>
                <w:szCs w:val="18"/>
              </w:rPr>
              <w:t>√</w:t>
            </w:r>
          </w:p>
        </w:tc>
        <w:tc>
          <w:tcPr>
            <w:tcW w:w="900" w:type="dxa"/>
            <w:noWrap w:val="0"/>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7</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资格预审文件、招标文件澄清或修改</w:t>
            </w:r>
          </w:p>
        </w:tc>
        <w:tc>
          <w:tcPr>
            <w:tcW w:w="3364"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vMerge w:val="continue"/>
            <w:noWrap w:val="0"/>
            <w:vAlign w:val="center"/>
          </w:tcPr>
          <w:p>
            <w:pPr>
              <w:rPr>
                <w:rFonts w:hint="eastAsia" w:ascii="仿宋_GB2312" w:eastAsia="仿宋_GB2312"/>
                <w:sz w:val="18"/>
                <w:szCs w:val="18"/>
              </w:rPr>
            </w:pP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continue"/>
            <w:noWrap w:val="0"/>
            <w:vAlign w:val="center"/>
          </w:tcPr>
          <w:p>
            <w:pPr>
              <w:rPr>
                <w:rFonts w:ascii="Wingdings 2" w:hAnsi="Wingdings 2" w:cs="宋体"/>
                <w:sz w:val="18"/>
                <w:szCs w:val="18"/>
              </w:rPr>
            </w:pPr>
          </w:p>
        </w:tc>
        <w:tc>
          <w:tcPr>
            <w:tcW w:w="720" w:type="dxa"/>
            <w:noWrap w:val="0"/>
            <w:vAlign w:val="center"/>
          </w:tcPr>
          <w:p>
            <w:pPr>
              <w:jc w:val="center"/>
              <w:rPr>
                <w:rFonts w:ascii="宋体" w:hAnsi="宋体" w:cs="宋体"/>
                <w:sz w:val="18"/>
                <w:szCs w:val="18"/>
              </w:rPr>
            </w:pPr>
            <w:r>
              <w:rPr>
                <w:rFonts w:hint="eastAsia" w:ascii="仿宋_GB2312" w:eastAsia="仿宋_GB2312"/>
                <w:sz w:val="18"/>
                <w:szCs w:val="18"/>
              </w:rPr>
              <w:t>√</w:t>
            </w:r>
          </w:p>
        </w:tc>
        <w:tc>
          <w:tcPr>
            <w:tcW w:w="900" w:type="dxa"/>
            <w:noWrap w:val="0"/>
            <w:vAlign w:val="center"/>
          </w:tcPr>
          <w:p>
            <w:pPr>
              <w:rPr>
                <w:rFonts w:ascii="宋体" w:hAnsi="宋体" w:cs="宋体"/>
                <w:sz w:val="18"/>
                <w:szCs w:val="18"/>
              </w:rPr>
            </w:pPr>
            <w:r>
              <w:rPr>
                <w:rFonts w:hint="eastAsia" w:ascii="仿宋_GB2312" w:eastAsia="仿宋_GB2312"/>
                <w:sz w:val="18"/>
                <w:szCs w:val="18"/>
              </w:rPr>
              <w:t>　</w:t>
            </w:r>
          </w:p>
        </w:tc>
        <w:tc>
          <w:tcPr>
            <w:tcW w:w="788" w:type="dxa"/>
            <w:noWrap w:val="0"/>
            <w:vAlign w:val="center"/>
          </w:tcPr>
          <w:p>
            <w:pPr>
              <w:jc w:val="center"/>
              <w:rPr>
                <w:rFonts w:ascii="宋体" w:hAnsi="宋体" w:cs="宋体"/>
                <w:sz w:val="18"/>
                <w:szCs w:val="18"/>
              </w:rPr>
            </w:pPr>
            <w:r>
              <w:rPr>
                <w:rFonts w:hint="eastAsia" w:ascii="仿宋_GB2312" w:eastAsia="仿宋_GB2312"/>
                <w:sz w:val="18"/>
                <w:szCs w:val="18"/>
              </w:rPr>
              <w:t>√</w:t>
            </w:r>
          </w:p>
        </w:tc>
        <w:tc>
          <w:tcPr>
            <w:tcW w:w="900" w:type="dxa"/>
            <w:noWrap w:val="0"/>
            <w:vAlign w:val="center"/>
          </w:tcPr>
          <w:p>
            <w:pPr>
              <w:rPr>
                <w:rFonts w:ascii="宋体" w:hAnsi="宋体"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val="en-US" w:eastAsia="zh-CN"/>
              </w:rPr>
              <w:t>8</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val="en-US" w:eastAsia="zh-CN"/>
              </w:rPr>
              <w:t>9</w:t>
            </w:r>
          </w:p>
        </w:tc>
        <w:tc>
          <w:tcPr>
            <w:tcW w:w="900" w:type="dxa"/>
            <w:vMerge w:val="restart"/>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暂停、终止招标</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restart"/>
            <w:noWrap w:val="0"/>
            <w:vAlign w:val="center"/>
          </w:tcPr>
          <w:p>
            <w:pPr>
              <w:rPr>
                <w:rFonts w:ascii="仿宋_GB2312" w:hAnsi="宋体" w:eastAsia="仿宋_GB2312"/>
                <w:sz w:val="18"/>
                <w:szCs w:val="18"/>
              </w:rPr>
            </w:pPr>
            <w:r>
              <w:rPr>
                <w:rFonts w:hint="eastAsia" w:ascii="仿宋_GB2312" w:hAnsi="宋体" w:eastAsia="仿宋_GB2312"/>
                <w:sz w:val="18"/>
                <w:szCs w:val="18"/>
              </w:rPr>
              <w:t>■公共资源交易平台</w:t>
            </w:r>
            <w:r>
              <w:rPr>
                <w:rFonts w:hint="eastAsia"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rPr>
              <w:t>1</w:t>
            </w:r>
            <w:r>
              <w:rPr>
                <w:rFonts w:hint="eastAsia" w:ascii="仿宋_GB2312" w:eastAsia="仿宋_GB2312"/>
                <w:sz w:val="18"/>
                <w:szCs w:val="18"/>
                <w:lang w:val="en-US" w:eastAsia="zh-CN"/>
              </w:rPr>
              <w:t>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市场主体信用信息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1856" w:type="dxa"/>
            <w:vMerge w:val="continue"/>
            <w:noWrap w:val="0"/>
            <w:vAlign w:val="center"/>
          </w:tcPr>
          <w:p>
            <w:pPr>
              <w:spacing w:line="240" w:lineRule="exact"/>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11</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w:t>
            </w:r>
          </w:p>
          <w:p>
            <w:pPr>
              <w:jc w:val="center"/>
              <w:rPr>
                <w:rFonts w:hint="eastAsia" w:ascii="仿宋_GB2312" w:eastAsia="仿宋_GB2312"/>
                <w:sz w:val="18"/>
                <w:szCs w:val="18"/>
              </w:rPr>
            </w:pP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13</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竞争性谈判公告、竞争性磋商公告和询价公告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及时公开，公告期限为3个工作日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restart"/>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14</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采购项目预算金额</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随采购公告、采购文件公开</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15</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采购文件</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16</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采购信息更正公告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17</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单一来源公示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及时公开，公示期限不得少于5个工作日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18</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协议供货和定点采购的具体成交记录</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spacing w:line="240" w:lineRule="exact"/>
              <w:jc w:val="center"/>
              <w:rPr>
                <w:rFonts w:hint="eastAsia" w:ascii="仿宋_GB2312"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19</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中标、成交结果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采购合同</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合同签订之日起2个工作日内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spacing w:line="240" w:lineRule="exact"/>
              <w:jc w:val="center"/>
              <w:rPr>
                <w:rFonts w:hint="eastAsia" w:ascii="仿宋_GB2312"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21</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终止公告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22</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公共服务项目采购需求</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公共服务项目验收结果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验收结束之日起2个工作日内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r>
              <w:rPr>
                <w:rFonts w:ascii="仿宋_GB2312" w:hAnsi="宋体" w:eastAsia="仿宋_GB2312"/>
                <w:sz w:val="18"/>
                <w:szCs w:val="18"/>
              </w:rPr>
              <w:br w:type="textWrapping"/>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24</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投诉、监督检查等处理决定公告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《国务院办公厅关于推进公共资源配置领域政府信息公开的意见》、《财政部关于做好政府采购信息公开工作的通知》、《广东省财政厅关于做好我省政府采购信息公开工作的通知》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霞山区</w:t>
            </w:r>
            <w:r>
              <w:rPr>
                <w:rFonts w:hint="eastAsia" w:ascii="仿宋_GB2312" w:eastAsia="仿宋_GB2312"/>
                <w:sz w:val="18"/>
                <w:szCs w:val="18"/>
              </w:rPr>
              <w:t>财政局</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r>
              <w:rPr>
                <w:rFonts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25</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土地出让计划</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明确国有建设用地供应指导思想和原则；提出国有建设用地供应政策导向；确定国有建设用地供应总量、结构、布局、时序和方式；落实计划供应的宗地；实施计划的保障措施。</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《国务院办公厅关于推进公共资源配置领域政府信息公开的意见》、《招标拍卖挂牌出让国有建设用地使用权规定》、《国有建设用地供应计划编制规范》（试行）</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每年3月31日前，公布年度国有建设用地供应计划</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各级自然资源管理部门网站</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26</w:t>
            </w:r>
          </w:p>
        </w:tc>
        <w:tc>
          <w:tcPr>
            <w:tcW w:w="900" w:type="dxa"/>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《国务院办公厅关于推进公共资源配置领域政府信息公开的意见》、《招标拍卖挂牌出让国有建设用地使用权规定》</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至少在投标、拍卖或者挂牌开始日前20日。挂牌时间不得少于10日</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土地有形市场或者指定的场所、媒介（一般指中国土地市场网、当地政府媒介）</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27</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公告调整</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公开国有建设用地使用权出让公告、项目概况、澄清或者修改事项、联系方式。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按原公告发布渠道及时发布补充公告，涉及土地使用条件变更等影响土地价格的重大变动，补充公告发布时间距招拍挂活动开始时间少于20日的，招拍挂活动相应顺延</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中国土地市场网或者土地有形市场等指定场所</w:t>
            </w:r>
            <w:r>
              <w:rPr>
                <w:rFonts w:ascii="仿宋_GB2312" w:eastAsia="仿宋_GB2312"/>
                <w:color w:val="000000"/>
                <w:sz w:val="18"/>
                <w:szCs w:val="18"/>
                <w:highlight w:val="none"/>
              </w:rPr>
              <w:br w:type="textWrapping"/>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28</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招标拍卖挂牌出让结果（成交公示）</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土地位置、面积、用途、开发程度、土地级别、容积率、出让年限、供地方式、受让人、成交价格和成交时间等。</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《国务院办公厅关于推进公共资源配置领域政府信息公开的意见》、《招标拍卖挂牌出让国有建设用地使用权规定》、《招标拍卖挂牌出让国有土地使用权规范》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招标拍卖挂牌活动结束后的10个工作日内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土地有形市场或者指定的场所、媒介（一般指中国土地市场网、当地政府媒介）</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29</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供应结果</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国有建设用地使用权年度供应结果。</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及时公开</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各级自然资源管理部门网站</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30</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公告调整</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公开国有建设用地使用权出让公告、项目概况、澄清或者修改事项、联系方式。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按原公告发布渠道及时发布补充公告，涉及土地使用条件变更等影响土地价格的重大变动，补充公告发布时间距招拍挂活动开始时间少于20日的，招拍挂活动相应顺延</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中国土地市场网或者土地有形市场等指定场所</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招标拍卖挂牌出让结果（成交公示）</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土地位置、面积、用途、开发程度、土地级别、容积率、出让年限、供地方式、受让人、成交价格和成交时间等。</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《国务院办公厅关于推进公共资源配置领域政府信息公开的意见》、《招标拍卖挂牌出让国有建设用地使用权规定》、《招标拍卖挂牌出让国有土地使用权规范》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招标拍卖挂牌活动结束后的10个工作日内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土地有形市场或者指定的场所、媒介（一般指中国土地市场网、当地政府媒介）</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32</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供应结果</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国有建设用地使用权年度供应结果。</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及时公开</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各级自然资源管理部门网站</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33</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《国务院办公厅关于推进公共资源配置领域政府信息公开的意见》、国土资源部关于印发矿业权交易规则》的通知、《自然资源部关于调整&lt;矿业权交易规则&gt;有关规定的通知》</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在投标截止日、公开拍卖日或者挂牌起始日20个工作日前发布。挂牌时间不得少于10个工作日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霞山区自然资源局</w:t>
            </w:r>
          </w:p>
        </w:tc>
        <w:tc>
          <w:tcPr>
            <w:tcW w:w="1856" w:type="dxa"/>
            <w:noWrap w:val="0"/>
            <w:vAlign w:val="center"/>
          </w:tcPr>
          <w:p>
            <w:pPr>
              <w:rPr>
                <w:rFonts w:hint="eastAsia" w:ascii="仿宋_GB2312" w:eastAsia="仿宋_GB2312"/>
                <w:color w:val="000000"/>
                <w:sz w:val="18"/>
                <w:szCs w:val="18"/>
                <w:highlight w:val="none"/>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r>
              <w:rPr>
                <w:rFonts w:hint="eastAsia" w:ascii="仿宋_GB2312" w:eastAsia="仿宋_GB2312"/>
                <w:color w:val="000000"/>
                <w:sz w:val="18"/>
                <w:szCs w:val="18"/>
                <w:highlight w:val="none"/>
              </w:rPr>
              <w:br w:type="textWrapping"/>
            </w:r>
            <w:r>
              <w:rPr>
                <w:rFonts w:hint="eastAsia" w:ascii="仿宋_GB2312" w:eastAsia="仿宋_GB2312"/>
                <w:color w:val="000000"/>
                <w:sz w:val="18"/>
                <w:szCs w:val="18"/>
                <w:highlight w:val="none"/>
              </w:rPr>
              <w:t>在下列平台同时发布：</w:t>
            </w:r>
          </w:p>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自然资源部门户网站</w:t>
            </w:r>
            <w:r>
              <w:rPr>
                <w:rFonts w:hint="eastAsia"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同级自然资源主管部门门户网站</w:t>
            </w:r>
            <w:r>
              <w:rPr>
                <w:rFonts w:hint="eastAsia" w:ascii="仿宋_GB2312" w:eastAsia="仿宋_GB2312"/>
                <w:color w:val="000000"/>
                <w:sz w:val="18"/>
                <w:szCs w:val="18"/>
                <w:highlight w:val="none"/>
              </w:rPr>
              <w:br w:type="textWrapping"/>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34</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招标拍卖挂牌成交结果公示</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《国务院办公厅关于推进公共资源配置领域政府信息公开的意见》、国土资源部关于印发矿业权交易规则》的通知</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发出中标通知书或者签订成交确认书后5个工作日内进行信息公示。公示期不少于10个工作日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霞山区自然资源</w:t>
            </w:r>
            <w:r>
              <w:rPr>
                <w:rFonts w:hint="eastAsia" w:ascii="仿宋_GB2312" w:eastAsia="仿宋_GB2312"/>
                <w:color w:val="000000"/>
                <w:sz w:val="18"/>
                <w:szCs w:val="18"/>
                <w:highlight w:val="none"/>
                <w:shd w:val="clear" w:color="auto" w:fill="auto"/>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r>
              <w:rPr>
                <w:rFonts w:ascii="仿宋_GB2312" w:eastAsia="仿宋_GB2312"/>
                <w:color w:val="000000"/>
                <w:sz w:val="18"/>
                <w:szCs w:val="18"/>
                <w:highlight w:val="none"/>
              </w:rPr>
              <w:br w:type="textWrapping"/>
            </w:r>
            <w:r>
              <w:rPr>
                <w:rFonts w:hint="eastAsia" w:ascii="仿宋_GB2312" w:eastAsia="仿宋_GB2312"/>
                <w:color w:val="000000"/>
                <w:sz w:val="18"/>
                <w:szCs w:val="18"/>
                <w:highlight w:val="none"/>
              </w:rPr>
              <w:t>在下列平台同时发布：</w:t>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自然资源部门户网站</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同级自然资源主管部门门户网站</w:t>
            </w:r>
            <w:r>
              <w:rPr>
                <w:rFonts w:ascii="仿宋_GB2312" w:eastAsia="仿宋_GB2312"/>
                <w:color w:val="000000"/>
                <w:sz w:val="18"/>
                <w:szCs w:val="18"/>
                <w:highlight w:val="none"/>
              </w:rPr>
              <w:br w:type="textWrapping"/>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35</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矿业权出让信息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审批结果信息</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每个项目的审批结果信息（交易完成后由各级自然资源管理部门审批）。</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信息形成之日起20个工作日内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各级自然资源管理部门网站</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36</w:t>
            </w:r>
          </w:p>
        </w:tc>
        <w:tc>
          <w:tcPr>
            <w:tcW w:w="900" w:type="dxa"/>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项目信息</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公告有效期内矿业权基本信息包括矿业权名称、许可证号、矿业权人、矿种、有效期限。</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每年一季度集中公告</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各级自然资源管理部门网站</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37</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国有企业产权转让信息预披露</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及时公开，正式披露信息时间不得少于20个工作日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产权交易机构网站</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38</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国有企业产权转让信息披露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及时公开，正式披露信息时间不得少于20个工作日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产权交易机构网站</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39</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国有企业产权转让成交公告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交易标的名称、转让标的评估结果、转让底价、交易价格。</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及时公开，公告期不少于5个工作日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产权交易机构网站</w:t>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40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国有企业资产转让信息披露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标的基本情况、交易条件、转让底价、竞价方式、受让方选择的相关评判标准等。</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转让底价高于100万元、低于1000万元的资产转让项目，信息公告期应不少于10个工作日；转让底价高于1000万元的资产转让项目，信息公告期应不少于20个工作日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产权交易机构网站</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41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国有企业资产转让成交公告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交易标的名称、评估价格、转让底价、交易价格等。</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不少于5个工作日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lang w:eastAsia="zh-CN"/>
              </w:rPr>
              <w:t>霞山区</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产权交易机构网站</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bl>
    <w:p>
      <w:pPr>
        <w:rPr>
          <w:rFonts w:ascii="仿宋_GB2312" w:eastAsia="仿宋_GB2312"/>
          <w:sz w:val="18"/>
          <w:szCs w:val="18"/>
        </w:rPr>
      </w:pPr>
    </w:p>
    <w:p>
      <w:pPr>
        <w:jc w:val="center"/>
        <w:rPr>
          <w:rFonts w:hint="eastAsia" w:ascii="Times New Roman" w:hAnsi="Times New Roman" w:eastAsia="方正小标宋_GBK"/>
          <w:sz w:val="30"/>
          <w:szCs w:val="30"/>
        </w:rPr>
      </w:pPr>
    </w:p>
    <w:p>
      <w:pPr>
        <w:jc w:val="center"/>
        <w:rPr>
          <w:rFonts w:hint="eastAsia" w:ascii="Times New Roman" w:hAnsi="Times New Roman" w:eastAsia="方正小标宋_GBK"/>
          <w:sz w:val="30"/>
          <w:szCs w:val="3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2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C3289"/>
    <w:rsid w:val="013924F9"/>
    <w:rsid w:val="08A106F6"/>
    <w:rsid w:val="0DC011D5"/>
    <w:rsid w:val="1D382974"/>
    <w:rsid w:val="1DB56350"/>
    <w:rsid w:val="26AB634B"/>
    <w:rsid w:val="463D147A"/>
    <w:rsid w:val="4CE47EF7"/>
    <w:rsid w:val="4E215FC7"/>
    <w:rsid w:val="5E7C3289"/>
    <w:rsid w:val="60D839D2"/>
    <w:rsid w:val="658E1326"/>
    <w:rsid w:val="6A7478E1"/>
    <w:rsid w:val="6AF472B5"/>
    <w:rsid w:val="73D24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2020-08-20T07:33:00Z</dcterms:created>
  <dc:creator>春节快乐</dc:creator>
  <cp:lastModifiedBy>邱涛</cp:lastModifiedBy>
  <dcterms:modified xsi:type="dcterms:W3CDTF">2020-12-18T02:34:49Z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