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wordWrap w:val="0"/>
        <w:spacing w:line="580" w:lineRule="exact"/>
        <w:jc w:val="right"/>
        <w:rPr>
          <w:rFonts w:hint="eastAsia" w:ascii="仿宋_GB2312" w:hAnsi="仿宋_GB2312" w:eastAsia="仿宋_GB2312" w:cs="仿宋_GB2312"/>
          <w:sz w:val="32"/>
          <w:szCs w:val="32"/>
        </w:rPr>
      </w:pPr>
    </w:p>
    <w:p>
      <w:pPr>
        <w:pStyle w:val="16"/>
        <w:wordWrap/>
        <w:rPr>
          <w:rFonts w:hint="eastAsia" w:ascii="仿宋_GB2312" w:hAnsi="仿宋_GB2312" w:eastAsia="仿宋_GB2312" w:cs="仿宋_GB2312"/>
          <w:sz w:val="32"/>
          <w:szCs w:val="32"/>
        </w:rPr>
      </w:pPr>
    </w:p>
    <w:p>
      <w:pPr>
        <w:tabs>
          <w:tab w:val="left" w:pos="3420"/>
        </w:tabs>
        <w:wordWrap w:val="0"/>
        <w:spacing w:line="580" w:lineRule="exact"/>
        <w:jc w:val="right"/>
        <w:rPr>
          <w:rFonts w:hint="eastAsia" w:ascii="仿宋_GB2312" w:eastAsia="仿宋_GB2312"/>
          <w:sz w:val="32"/>
        </w:rPr>
      </w:pPr>
      <w:r>
        <w:rPr>
          <w:rFonts w:hint="eastAsia" w:ascii="仿宋_GB2312" w:eastAsia="仿宋_GB2312"/>
          <w:sz w:val="32"/>
        </w:rPr>
        <w:t>湛环建霞〔20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16</w:t>
      </w:r>
      <w:r>
        <w:rPr>
          <w:rFonts w:hint="eastAsia" w:ascii="仿宋_GB2312" w:eastAsia="仿宋_GB2312"/>
          <w:sz w:val="32"/>
        </w:rPr>
        <w:t>号</w:t>
      </w:r>
    </w:p>
    <w:p>
      <w:pPr>
        <w:pStyle w:val="2"/>
        <w:wordWrap/>
        <w:rPr>
          <w:rFonts w:hint="eastAsia"/>
          <w:sz w:val="15"/>
          <w:szCs w:val="15"/>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关于湛江港石化码头有限责任公司危废临时存放点</w:t>
      </w:r>
      <w:r>
        <w:rPr>
          <w:rFonts w:hint="eastAsia" w:ascii="方正小标宋简体" w:hAnsi="方正小标宋简体" w:eastAsia="方正小标宋简体" w:cs="方正小标宋简体"/>
          <w:sz w:val="44"/>
          <w:szCs w:val="44"/>
          <w:lang w:eastAsia="zh-CN"/>
        </w:rPr>
        <w:t>建设项目</w:t>
      </w:r>
      <w:r>
        <w:rPr>
          <w:rFonts w:hint="eastAsia" w:ascii="方正小标宋简体" w:hAnsi="方正小标宋简体" w:eastAsia="方正小标宋简体" w:cs="方正小标宋简体"/>
          <w:sz w:val="44"/>
          <w:szCs w:val="44"/>
        </w:rPr>
        <w:t>环境影响报告表的批复</w:t>
      </w:r>
    </w:p>
    <w:p>
      <w:pPr>
        <w:keepNext w:val="0"/>
        <w:keepLines w:val="0"/>
        <w:pageBreakBefore w:val="0"/>
        <w:kinsoku/>
        <w:wordWrap/>
        <w:overflowPunct/>
        <w:topLinePunct w:val="0"/>
        <w:bidi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湛江港石化码头有限责任公司：</w:t>
      </w:r>
    </w:p>
    <w:p>
      <w:pPr>
        <w:keepNext w:val="0"/>
        <w:keepLines w:val="0"/>
        <w:pageBreakBefore w:val="0"/>
        <w:widowControl w:val="0"/>
        <w:kinsoku/>
        <w:wordWrap/>
        <w:overflowPunct/>
        <w:topLinePunct w:val="0"/>
        <w:bidi w:val="0"/>
        <w:adjustRightInd/>
        <w:snapToGri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你单位报批的《湛江港石化码头有限责任公司危废临时存放点建设项目环境影响报告表》（以下简称“</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”）等材料收悉。经研究，批复如下：</w:t>
      </w:r>
    </w:p>
    <w:p>
      <w:pPr>
        <w:pStyle w:val="25"/>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湛江港石化码头有限责任公司原有危废暂存仓库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占地面积约250m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vertAlign w:val="baseline"/>
          <w:lang w:eastAsia="zh-CN"/>
        </w:rPr>
        <w:t>，现已拆除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主要用于暂存清罐底泥、污油、浮渣等，废油漆桶、废吸油布、吸油毯产生后直接由资质单位清运离场</w:t>
      </w:r>
      <w:r>
        <w:rPr>
          <w:rFonts w:hint="eastAsia" w:ascii="仿宋_GB2312" w:hAnsi="仿宋_GB2312" w:eastAsia="仿宋_GB2312" w:cs="仿宋_GB2312"/>
          <w:color w:val="auto"/>
          <w:sz w:val="32"/>
          <w:szCs w:val="32"/>
          <w:lang w:eastAsia="zh-CN"/>
        </w:rPr>
        <w:t>。现为了</w:t>
      </w:r>
      <w:r>
        <w:rPr>
          <w:rFonts w:hint="eastAsia" w:ascii="仿宋_GB2312" w:hAnsi="仿宋_GB2312" w:eastAsia="仿宋_GB2312" w:cs="仿宋_GB2312"/>
          <w:color w:val="auto"/>
          <w:sz w:val="32"/>
          <w:szCs w:val="32"/>
        </w:rPr>
        <w:t>规范自身产生的危险废物的管理，增加废油漆桶、废吸油布、吸油毯的暂存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湛江港石化码头有限责任公司选址在库区配套的办公区域的西南侧围墙旁建设危废临时仓库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中心经纬度为：E110.396779°，N21.165143°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，拟用于临时储存产生的危险废物，仓库总占地面积约720m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，占地范围内设2个仓库（含油废物仓库及废油漆桶仓库），中间用隔墙分开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其中，含油废物仓库用于暂存含油废物（HW08）、废吸油布、吸油毡（HW49），占地约260m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；废油漆桶仓库用于暂存废空油漆桶（HW49），占地约140m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vertAlign w:val="baseline"/>
          <w:lang w:eastAsia="zh-CN"/>
        </w:rPr>
        <w:t>；</w:t>
      </w:r>
      <w:r>
        <w:rPr>
          <w:rFonts w:hint="eastAsia" w:ascii="仿宋_GB2312" w:hAnsi="仿宋_GB2312" w:eastAsia="仿宋_GB2312" w:cs="仿宋_GB2312"/>
          <w:color w:val="auto"/>
          <w:sz w:val="32"/>
          <w:szCs w:val="32"/>
        </w:rPr>
        <w:t>其他占地是空地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占地面积290 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和工具房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占地面积各为15 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pStyle w:val="25"/>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rPr>
        <w:t>项目评价范围包括危废临时仓库及危废在厂区内的收集、运输区域。项目暂存的废油泥、渣、废矿物油、废吸油布、吸油毯来自废水处理、油罐底渣清理、清罐、维修等，主要有害成分为矿物油类，基本不含重金属及其他有毒有害物质；废油漆桶来自设备防腐，主要有害成分为油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基本不含重金属及其他有毒有害物质。项目</w:t>
      </w:r>
      <w:r>
        <w:rPr>
          <w:rFonts w:hint="eastAsia" w:ascii="仿宋_GB2312" w:hAnsi="仿宋_GB2312" w:eastAsia="仿宋_GB2312" w:cs="仿宋_GB2312"/>
          <w:color w:val="auto"/>
          <w:sz w:val="32"/>
          <w:szCs w:val="32"/>
        </w:rPr>
        <w:t>危险废物储存情况</w:t>
      </w:r>
      <w:r>
        <w:rPr>
          <w:rFonts w:hint="eastAsia" w:ascii="仿宋_GB2312" w:hAnsi="仿宋_GB2312" w:eastAsia="仿宋_GB2312" w:cs="仿宋_GB2312"/>
          <w:color w:val="auto"/>
          <w:sz w:val="32"/>
          <w:szCs w:val="32"/>
          <w:lang w:eastAsia="zh-CN"/>
        </w:rPr>
        <w:t>详见表</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sz w:val="32"/>
          <w:szCs w:val="32"/>
          <w:lang w:eastAsia="zh-CN"/>
        </w:rPr>
        <w:t>表</w:t>
      </w:r>
      <w:r>
        <w:rPr>
          <w:rFonts w:hint="default" w:ascii="Times New Roman" w:hAnsi="Times New Roman" w:eastAsia="仿宋_GB2312" w:cs="Times New Roman"/>
          <w:b w:val="0"/>
          <w:bCs/>
          <w:sz w:val="32"/>
          <w:szCs w:val="32"/>
          <w:lang w:val="en-US" w:eastAsia="zh-CN"/>
        </w:rPr>
        <w:t xml:space="preserve">1 </w:t>
      </w:r>
      <w:r>
        <w:rPr>
          <w:rFonts w:hint="default" w:ascii="Times New Roman" w:hAnsi="Times New Roman" w:eastAsia="仿宋_GB2312" w:cs="Times New Roman"/>
          <w:b w:val="0"/>
          <w:bCs/>
          <w:sz w:val="32"/>
          <w:szCs w:val="32"/>
        </w:rPr>
        <w:t>项目危险废物储存情况表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455"/>
        <w:gridCol w:w="1036"/>
        <w:gridCol w:w="763"/>
        <w:gridCol w:w="687"/>
        <w:gridCol w:w="856"/>
        <w:gridCol w:w="818"/>
        <w:gridCol w:w="2184"/>
        <w:gridCol w:w="724"/>
        <w:gridCol w:w="734"/>
        <w:gridCol w:w="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01" w:hRule="atLeast"/>
          <w:tblHeader/>
          <w:jc w:val="center"/>
        </w:trPr>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5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危废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名称</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危废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类别</w:t>
            </w:r>
          </w:p>
        </w:tc>
        <w:tc>
          <w:tcPr>
            <w:tcW w:w="39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形态</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产生量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（t/a）</w:t>
            </w:r>
          </w:p>
        </w:tc>
        <w:tc>
          <w:tcPr>
            <w:tcW w:w="4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最大储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存量（t）</w:t>
            </w: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产生工序</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主要成分</w:t>
            </w:r>
          </w:p>
        </w:tc>
        <w:tc>
          <w:tcPr>
            <w:tcW w:w="42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有害成分</w:t>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危险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特性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9" w:hRule="atLeast"/>
          <w:jc w:val="center"/>
        </w:trPr>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5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废油泥、渣</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HW08</w:t>
            </w:r>
          </w:p>
        </w:tc>
        <w:tc>
          <w:tcPr>
            <w:tcW w:w="39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固态/液</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300</w:t>
            </w:r>
          </w:p>
        </w:tc>
        <w:tc>
          <w:tcPr>
            <w:tcW w:w="4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25</w:t>
            </w: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废水处理、油罐底渣清理</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矿物油类</w:t>
            </w:r>
          </w:p>
        </w:tc>
        <w:tc>
          <w:tcPr>
            <w:tcW w:w="42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矿物油类</w:t>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T,I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5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废矿物油</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HW08</w:t>
            </w:r>
          </w:p>
        </w:tc>
        <w:tc>
          <w:tcPr>
            <w:tcW w:w="39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固态/液</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25</w:t>
            </w:r>
          </w:p>
        </w:tc>
        <w:tc>
          <w:tcPr>
            <w:tcW w:w="4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清罐、管线、油罐拆除及防腐维护项目施工</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矿物油类</w:t>
            </w:r>
          </w:p>
        </w:tc>
        <w:tc>
          <w:tcPr>
            <w:tcW w:w="42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矿物油类</w:t>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T,I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5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废吸油布、吸油毯</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HW49</w:t>
            </w:r>
          </w:p>
        </w:tc>
        <w:tc>
          <w:tcPr>
            <w:tcW w:w="39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固态</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90</w:t>
            </w:r>
          </w:p>
        </w:tc>
        <w:tc>
          <w:tcPr>
            <w:tcW w:w="4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15</w:t>
            </w: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清罐、管线、油罐拆除及防腐维护项目施工</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矿物油类、布</w:t>
            </w:r>
          </w:p>
        </w:tc>
        <w:tc>
          <w:tcPr>
            <w:tcW w:w="42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矿物油类</w:t>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0" w:hRule="atLeast"/>
          <w:jc w:val="center"/>
        </w:trPr>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5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废油漆桶</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HW49</w:t>
            </w:r>
          </w:p>
        </w:tc>
        <w:tc>
          <w:tcPr>
            <w:tcW w:w="39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固态</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35</w:t>
            </w:r>
          </w:p>
        </w:tc>
        <w:tc>
          <w:tcPr>
            <w:tcW w:w="4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12</w:t>
            </w: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设备防腐用涂料包装</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铁桶、油漆</w:t>
            </w:r>
          </w:p>
        </w:tc>
        <w:tc>
          <w:tcPr>
            <w:tcW w:w="42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油漆</w:t>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T</w:t>
            </w:r>
          </w:p>
        </w:tc>
      </w:tr>
    </w:tbl>
    <w:p>
      <w:pPr>
        <w:pStyle w:val="25"/>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危废临时仓库仅供湛江港石化码头有限责任公司自用，不对外使用。该项目总投资</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万元，不新增人员</w:t>
      </w:r>
      <w:bookmarkStart w:id="0" w:name="_GoBack"/>
      <w:bookmarkEnd w:id="0"/>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完全依托现有项目，全年工作365天，每天24h</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的评价结论及湛江市环境科学研究所《关于湛江港石化码头有限责任公司危废临时存放点建设项目环境影响报告表技术评估意见》（湛环技评表〔2020〕63 号），在全面落实</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中提出的各项污染防治和风险防范措施，并确保污染物排放稳定达标且符合总量要求的前提下，项目按照</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中所列性质、规模、地点和拟采取的环境保护措施进行建设，从环境保护角度可行。我局原则通过对</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的审查，你公司应按照</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内容组织实施。</w:t>
      </w:r>
    </w:p>
    <w:p>
      <w:pPr>
        <w:keepNext w:val="0"/>
        <w:keepLines w:val="0"/>
        <w:pageBreakBefore w:val="0"/>
        <w:widowControl w:val="0"/>
        <w:kinsoku/>
        <w:wordWrap/>
        <w:overflowPunct/>
        <w:topLinePunct w:val="0"/>
        <w:bidi w:val="0"/>
        <w:adjustRightInd/>
        <w:snapToGri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、项目建设和运营中还应重点做好以下工作：</w:t>
      </w:r>
    </w:p>
    <w:p>
      <w:pPr>
        <w:keepNext w:val="0"/>
        <w:keepLines w:val="0"/>
        <w:pageBreakBefore w:val="0"/>
        <w:widowControl w:val="0"/>
        <w:kinsoku/>
        <w:wordWrap/>
        <w:overflowPunct/>
        <w:topLinePunct w:val="0"/>
        <w:bidi w:val="0"/>
        <w:adjustRightInd/>
        <w:snapToGri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）该项目须严格执行“三同时”制度，并落实</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污染防治措施，污染防治设施要同时设计、同时施工、同时投入运行。</w:t>
      </w:r>
    </w:p>
    <w:p>
      <w:pPr>
        <w:keepNext w:val="0"/>
        <w:keepLines w:val="0"/>
        <w:pageBreakBefore w:val="0"/>
        <w:widowControl w:val="0"/>
        <w:kinsoku/>
        <w:wordWrap/>
        <w:overflowPunct/>
        <w:topLinePunct w:val="0"/>
        <w:bidi w:val="0"/>
        <w:adjustRightInd/>
        <w:snapToGri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该项目须按规定的标准和程序进行验收，验收合格后方可投入使用。</w:t>
      </w:r>
    </w:p>
    <w:p>
      <w:pPr>
        <w:keepNext w:val="0"/>
        <w:keepLines w:val="0"/>
        <w:pageBreakBefore w:val="0"/>
        <w:widowControl w:val="0"/>
        <w:kinsoku/>
        <w:wordWrap/>
        <w:overflowPunct/>
        <w:topLinePunct w:val="0"/>
        <w:bidi w:val="0"/>
        <w:adjustRightInd/>
        <w:snapToGri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）该项目须加强环保管理和“三废”防治设施维护，严格按照国家标准规范及</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的要求做好各项污染防治措施，确保项目产生的废水、废气、噪声得到有效治理和持续稳定达标排放。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（四） </w:t>
      </w:r>
      <w:r>
        <w:rPr>
          <w:rFonts w:hint="eastAsia" w:ascii="仿宋_GB2312" w:hAnsi="仿宋_GB2312" w:eastAsia="仿宋_GB2312" w:cs="仿宋_GB2312"/>
          <w:sz w:val="32"/>
          <w:szCs w:val="32"/>
        </w:rPr>
        <w:t>该项目须按《危险废物贮存污染控制标准》等规范要求建设贮存库，贮存库满足防风防雨防渗等要求，并设置废液收集处理系统。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该项目须加强各类</w:t>
      </w:r>
      <w:r>
        <w:rPr>
          <w:rFonts w:hint="eastAsia" w:ascii="仿宋_GB2312" w:hAnsi="仿宋_GB2312" w:eastAsia="仿宋_GB2312" w:cs="仿宋_GB2312"/>
          <w:sz w:val="32"/>
          <w:szCs w:val="32"/>
          <w:lang w:eastAsia="zh-CN"/>
        </w:rPr>
        <w:t>危险</w:t>
      </w:r>
      <w:r>
        <w:rPr>
          <w:rFonts w:hint="eastAsia" w:ascii="仿宋_GB2312" w:hAnsi="仿宋_GB2312" w:eastAsia="仿宋_GB2312" w:cs="仿宋_GB2312"/>
          <w:sz w:val="32"/>
          <w:szCs w:val="32"/>
        </w:rPr>
        <w:t>废物的管理，</w:t>
      </w:r>
      <w:r>
        <w:rPr>
          <w:rFonts w:hint="eastAsia" w:ascii="仿宋_GB2312" w:hAnsi="仿宋_GB2312" w:eastAsia="仿宋_GB2312" w:cs="仿宋_GB2312"/>
          <w:sz w:val="32"/>
          <w:szCs w:val="32"/>
          <w:lang w:eastAsia="zh-CN"/>
        </w:rPr>
        <w:t>暂存时间最长不超过一年，</w:t>
      </w:r>
      <w:r>
        <w:rPr>
          <w:rFonts w:hint="eastAsia" w:ascii="仿宋_GB2312" w:hAnsi="仿宋_GB2312" w:eastAsia="仿宋_GB2312" w:cs="仿宋_GB2312"/>
          <w:sz w:val="32"/>
          <w:szCs w:val="32"/>
        </w:rPr>
        <w:t>运行过程中产生的危险废物须依法妥善处置，建立管理台账，存档备查。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该项目须严格按照国家标准规范及环境影响报告表的要求做好各项污染防治、风险防范和应急处置措施，防止危险废物泄漏、火灾或爆炸事故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、若项目的性质、规模、地点、工艺或者防治污染的措施发生重大变动，应重新报批项目的环境影响评价文件。</w:t>
      </w:r>
    </w:p>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p>
    <w:p>
      <w:pPr>
        <w:pStyle w:val="1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629" w:rightChars="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湛江市生态环境局霞山分局</w:t>
      </w:r>
    </w:p>
    <w:p>
      <w:pPr>
        <w:keepNext w:val="0"/>
        <w:keepLines w:val="0"/>
        <w:pageBreakBefore w:val="0"/>
        <w:widowControl w:val="0"/>
        <w:kinsoku/>
        <w:wordWrap/>
        <w:overflowPunct/>
        <w:topLinePunct w:val="0"/>
        <w:bidi w:val="0"/>
        <w:adjustRightInd/>
        <w:snapToGrid/>
        <w:spacing w:line="560" w:lineRule="exact"/>
        <w:ind w:left="4469" w:leftChars="2128"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2020年8月30日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auto"/>
    <w:pitch w:val="default"/>
    <w:sig w:usb0="E00002FF" w:usb1="400004FF" w:usb2="00000000" w:usb3="00000000" w:csb0="2000019F" w:csb1="00000000"/>
  </w:font>
  <w:font w:name="方正大黑体_GBK">
    <w:panose1 w:val="02010600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C7469"/>
    <w:multiLevelType w:val="singleLevel"/>
    <w:tmpl w:val="617C7469"/>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7D"/>
    <w:rsid w:val="0005552C"/>
    <w:rsid w:val="000F2D8C"/>
    <w:rsid w:val="000F3A7F"/>
    <w:rsid w:val="0014250C"/>
    <w:rsid w:val="001E0451"/>
    <w:rsid w:val="001E4738"/>
    <w:rsid w:val="0022269B"/>
    <w:rsid w:val="00222930"/>
    <w:rsid w:val="00227B17"/>
    <w:rsid w:val="0027790E"/>
    <w:rsid w:val="003B68A5"/>
    <w:rsid w:val="00401210"/>
    <w:rsid w:val="00422F2D"/>
    <w:rsid w:val="004C5BAF"/>
    <w:rsid w:val="00543BD7"/>
    <w:rsid w:val="005D36FB"/>
    <w:rsid w:val="00634111"/>
    <w:rsid w:val="006E225C"/>
    <w:rsid w:val="006F5D6F"/>
    <w:rsid w:val="00766A7D"/>
    <w:rsid w:val="00773639"/>
    <w:rsid w:val="00793BD3"/>
    <w:rsid w:val="007F2985"/>
    <w:rsid w:val="007F2AE6"/>
    <w:rsid w:val="007F434C"/>
    <w:rsid w:val="00823816"/>
    <w:rsid w:val="00891538"/>
    <w:rsid w:val="008E341F"/>
    <w:rsid w:val="00903D3B"/>
    <w:rsid w:val="0096014C"/>
    <w:rsid w:val="009671ED"/>
    <w:rsid w:val="009E5FFD"/>
    <w:rsid w:val="00A87A6E"/>
    <w:rsid w:val="00B67E72"/>
    <w:rsid w:val="00BB5ECF"/>
    <w:rsid w:val="00BE55BA"/>
    <w:rsid w:val="00C00CBA"/>
    <w:rsid w:val="00CA18AB"/>
    <w:rsid w:val="00CD7503"/>
    <w:rsid w:val="00D85488"/>
    <w:rsid w:val="00DB2F5A"/>
    <w:rsid w:val="00DF0E2E"/>
    <w:rsid w:val="00E64860"/>
    <w:rsid w:val="00EE15E9"/>
    <w:rsid w:val="00EE5BFF"/>
    <w:rsid w:val="00F85EA1"/>
    <w:rsid w:val="00FB008A"/>
    <w:rsid w:val="0B187C8B"/>
    <w:rsid w:val="0EE7640C"/>
    <w:rsid w:val="10C65629"/>
    <w:rsid w:val="13E8376E"/>
    <w:rsid w:val="1DF77A3F"/>
    <w:rsid w:val="1E9E08B2"/>
    <w:rsid w:val="25776CA5"/>
    <w:rsid w:val="28E40D21"/>
    <w:rsid w:val="2D090BF7"/>
    <w:rsid w:val="3BEE10C4"/>
    <w:rsid w:val="3E847D70"/>
    <w:rsid w:val="45986459"/>
    <w:rsid w:val="461116BA"/>
    <w:rsid w:val="47B96100"/>
    <w:rsid w:val="50A1686B"/>
    <w:rsid w:val="513B5092"/>
    <w:rsid w:val="526B2160"/>
    <w:rsid w:val="581466B3"/>
    <w:rsid w:val="5CDE636C"/>
    <w:rsid w:val="68360B26"/>
    <w:rsid w:val="6AFB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E-mail Signature"/>
    <w:basedOn w:val="1"/>
    <w:next w:val="4"/>
    <w:qFormat/>
    <w:uiPriority w:val="0"/>
    <w:pPr>
      <w:spacing w:line="460" w:lineRule="exact"/>
      <w:ind w:firstLine="200"/>
    </w:pPr>
    <w:rPr>
      <w:rFonts w:ascii="Times New Roman" w:hAnsi="Times New Roman" w:eastAsia="宋体" w:cs="Times New Roman"/>
    </w:rPr>
  </w:style>
  <w:style w:type="paragraph" w:customStyle="1" w:styleId="4">
    <w:name w:val="文章"/>
    <w:basedOn w:val="1"/>
    <w:next w:val="5"/>
    <w:qFormat/>
    <w:uiPriority w:val="0"/>
    <w:pPr>
      <w:widowControl/>
      <w:spacing w:line="240" w:lineRule="auto"/>
      <w:ind w:firstLine="480"/>
      <w:jc w:val="center"/>
    </w:pPr>
    <w:rPr>
      <w:rFonts w:ascii="Times New Roman" w:hAnsi="Times New Roman" w:eastAsia="宋体" w:cs="Times New Roman"/>
      <w:sz w:val="26"/>
    </w:rPr>
  </w:style>
  <w:style w:type="paragraph" w:styleId="5">
    <w:name w:val="List"/>
    <w:basedOn w:val="1"/>
    <w:next w:val="6"/>
    <w:unhideWhenUsed/>
    <w:qFormat/>
    <w:uiPriority w:val="0"/>
    <w:pPr>
      <w:jc w:val="center"/>
    </w:pPr>
    <w:rPr>
      <w:sz w:val="24"/>
      <w:szCs w:val="28"/>
    </w:rPr>
  </w:style>
  <w:style w:type="paragraph" w:styleId="6">
    <w:name w:val="List Bullet 2"/>
    <w:basedOn w:val="1"/>
    <w:next w:val="7"/>
    <w:semiHidden/>
    <w:unhideWhenUsed/>
    <w:qFormat/>
    <w:uiPriority w:val="99"/>
    <w:pPr>
      <w:numPr>
        <w:ilvl w:val="0"/>
        <w:numId w:val="1"/>
      </w:numPr>
    </w:pPr>
  </w:style>
  <w:style w:type="paragraph" w:customStyle="1" w:styleId="7">
    <w:name w:val="xl70"/>
    <w:basedOn w:val="1"/>
    <w:next w:val="8"/>
    <w:qFormat/>
    <w:uiPriority w:val="0"/>
    <w:pPr>
      <w:widowControl/>
      <w:spacing w:before="280" w:after="280" w:line="240" w:lineRule="auto"/>
      <w:ind w:firstLine="0"/>
    </w:pPr>
    <w:rPr>
      <w:rFonts w:ascii="宋体" w:hAnsi="Times New Roman" w:eastAsia="宋体" w:cs="Times New Roman"/>
    </w:rPr>
  </w:style>
  <w:style w:type="paragraph" w:customStyle="1" w:styleId="8">
    <w:name w:val="正文缩进1"/>
    <w:basedOn w:val="1"/>
    <w:next w:val="9"/>
    <w:qFormat/>
    <w:uiPriority w:val="0"/>
    <w:pPr>
      <w:ind w:firstLine="420" w:firstLineChars="200"/>
    </w:pPr>
    <w:rPr>
      <w:rFonts w:ascii="Times New Roman" w:hAnsi="Times New Roman" w:eastAsia="宋体" w:cs="Times New Roman"/>
      <w:sz w:val="24"/>
      <w:szCs w:val="24"/>
    </w:rPr>
  </w:style>
  <w:style w:type="paragraph" w:customStyle="1" w:styleId="9">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0">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Calibri" w:hAnsi="Calibri" w:eastAsia="宋体" w:cs="Times New Roman"/>
      <w:kern w:val="0"/>
      <w:sz w:val="21"/>
      <w:szCs w:val="22"/>
      <w:lang w:val="en-US" w:eastAsia="zh-CN" w:bidi="ar"/>
    </w:rPr>
  </w:style>
  <w:style w:type="paragraph" w:styleId="11">
    <w:name w:val="Body Text Indent"/>
    <w:basedOn w:val="1"/>
    <w:qFormat/>
    <w:uiPriority w:val="0"/>
    <w:pPr>
      <w:ind w:left="720"/>
    </w:pPr>
    <w:rPr>
      <w:sz w:val="28"/>
    </w:rPr>
  </w:style>
  <w:style w:type="paragraph" w:styleId="12">
    <w:name w:val="toc 2"/>
    <w:basedOn w:val="1"/>
    <w:next w:val="1"/>
    <w:qFormat/>
    <w:uiPriority w:val="0"/>
    <w:pPr>
      <w:ind w:left="210"/>
      <w:jc w:val="left"/>
    </w:pPr>
    <w:rPr>
      <w:rFonts w:ascii="Calibri" w:hAnsi="Calibri" w:eastAsia="宋体" w:cs="Calibri"/>
      <w:smallCaps/>
      <w:sz w:val="20"/>
    </w:rPr>
  </w:style>
  <w:style w:type="paragraph" w:styleId="13">
    <w:name w:val="Body Text First Indent 2"/>
    <w:basedOn w:val="11"/>
    <w:qFormat/>
    <w:uiPriority w:val="0"/>
    <w:pPr>
      <w:ind w:firstLine="420" w:firstLineChars="200"/>
    </w:pPr>
  </w:style>
  <w:style w:type="paragraph" w:customStyle="1" w:styleId="16">
    <w:name w:val="Default"/>
    <w:basedOn w:val="17"/>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pPr>
      <w:adjustRightInd w:val="0"/>
    </w:pPr>
    <w:rPr>
      <w:rFonts w:ascii="宋体" w:hAnsi="Courier New"/>
      <w:szCs w:val="20"/>
    </w:rPr>
  </w:style>
  <w:style w:type="paragraph" w:customStyle="1" w:styleId="18">
    <w:name w:val="样式35"/>
    <w:basedOn w:val="19"/>
    <w:next w:val="23"/>
    <w:qFormat/>
    <w:uiPriority w:val="0"/>
    <w:pPr>
      <w:tabs>
        <w:tab w:val="left" w:pos="0"/>
        <w:tab w:val="left" w:pos="360"/>
        <w:tab w:val="left" w:pos="540"/>
        <w:tab w:val="left" w:pos="567"/>
      </w:tabs>
      <w:spacing w:line="312" w:lineRule="auto"/>
      <w:ind w:firstLine="567"/>
    </w:pPr>
    <w:rPr>
      <w:rFonts w:ascii="宋体" w:hAnsi="Times New Roman" w:eastAsia="宋体" w:cs="Times New Roman"/>
      <w:sz w:val="28"/>
    </w:rPr>
  </w:style>
  <w:style w:type="paragraph" w:customStyle="1" w:styleId="19">
    <w:name w:val="样式26"/>
    <w:basedOn w:val="20"/>
    <w:qFormat/>
    <w:uiPriority w:val="0"/>
    <w:pPr>
      <w:tabs>
        <w:tab w:val="left" w:pos="0"/>
        <w:tab w:val="left" w:pos="360"/>
        <w:tab w:val="left" w:pos="540"/>
        <w:tab w:val="left" w:pos="567"/>
      </w:tabs>
    </w:pPr>
  </w:style>
  <w:style w:type="paragraph" w:customStyle="1" w:styleId="20">
    <w:name w:val="样式21"/>
    <w:basedOn w:val="21"/>
    <w:qFormat/>
    <w:uiPriority w:val="0"/>
    <w:pPr>
      <w:tabs>
        <w:tab w:val="left" w:pos="360"/>
        <w:tab w:val="left" w:pos="567"/>
      </w:tabs>
      <w:spacing w:before="120" w:beforeLines="0" w:after="120" w:afterLines="0"/>
      <w:ind w:hanging="992"/>
    </w:pPr>
    <w:rPr>
      <w:kern w:val="0"/>
    </w:rPr>
  </w:style>
  <w:style w:type="paragraph" w:customStyle="1" w:styleId="21">
    <w:name w:val="样式5"/>
    <w:basedOn w:val="22"/>
    <w:qFormat/>
    <w:uiPriority w:val="0"/>
    <w:pPr>
      <w:tabs>
        <w:tab w:val="left" w:pos="360"/>
        <w:tab w:val="left" w:pos="567"/>
      </w:tabs>
      <w:ind w:hanging="567" w:firstLineChars="0"/>
    </w:pPr>
    <w:rPr>
      <w:rFonts w:cs="Times New Roman"/>
    </w:rPr>
  </w:style>
  <w:style w:type="paragraph" w:customStyle="1" w:styleId="22">
    <w:name w:val="样式12"/>
    <w:basedOn w:val="1"/>
    <w:qFormat/>
    <w:uiPriority w:val="0"/>
    <w:pPr>
      <w:keepNext/>
      <w:keepLines/>
      <w:tabs>
        <w:tab w:val="left" w:pos="360"/>
      </w:tabs>
      <w:adjustRightInd w:val="0"/>
      <w:snapToGrid w:val="0"/>
      <w:spacing w:before="156" w:beforeLines="50" w:after="156" w:afterLines="50" w:line="360" w:lineRule="auto"/>
      <w:ind w:left="567" w:hanging="992" w:firstLineChars="200"/>
      <w:outlineLvl w:val="1"/>
    </w:pPr>
    <w:rPr>
      <w:rFonts w:eastAsia="黑体"/>
      <w:sz w:val="28"/>
      <w:szCs w:val="28"/>
    </w:rPr>
  </w:style>
  <w:style w:type="paragraph" w:customStyle="1" w:styleId="23">
    <w:name w:val="font6"/>
    <w:basedOn w:val="1"/>
    <w:next w:val="12"/>
    <w:qFormat/>
    <w:uiPriority w:val="0"/>
    <w:pPr>
      <w:widowControl/>
      <w:spacing w:before="280" w:after="280" w:line="240" w:lineRule="auto"/>
      <w:ind w:firstLine="0"/>
    </w:pPr>
    <w:rPr>
      <w:rFonts w:ascii="Times New Roman" w:hAnsi="Times New Roman" w:eastAsia="宋体" w:cs="Times New Roman"/>
      <w:sz w:val="21"/>
    </w:rPr>
  </w:style>
  <w:style w:type="paragraph" w:customStyle="1" w:styleId="24">
    <w:name w:val="样式 方正小标宋简体 小二 居中 行距: 固定值 22 磅"/>
    <w:basedOn w:val="1"/>
    <w:qFormat/>
    <w:uiPriority w:val="0"/>
    <w:pPr>
      <w:jc w:val="center"/>
    </w:pPr>
    <w:rPr>
      <w:rFonts w:ascii="方正小标宋简体" w:eastAsia="方正小标宋简体" w:cs="宋体"/>
      <w:sz w:val="36"/>
      <w:szCs w:val="20"/>
    </w:rPr>
  </w:style>
  <w:style w:type="paragraph" w:customStyle="1" w:styleId="25">
    <w:name w:val="报告表正文"/>
    <w:basedOn w:val="1"/>
    <w:qFormat/>
    <w:uiPriority w:val="0"/>
    <w:pPr>
      <w:widowControl/>
      <w:spacing w:line="360" w:lineRule="auto"/>
      <w:ind w:firstLine="200" w:firstLineChars="200"/>
    </w:pPr>
    <w:rPr>
      <w:color w:val="FF00FF"/>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503</Characters>
  <Lines>4</Lines>
  <Paragraphs>1</Paragraphs>
  <TotalTime>4</TotalTime>
  <ScaleCrop>false</ScaleCrop>
  <LinksUpToDate>false</LinksUpToDate>
  <CharactersWithSpaces>590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2019-07-04T02:06:00Z</dcterms:created>
  <dc:creator>332394983@qq.com</dc:creator>
  <cp:lastModifiedBy>勿忘心安</cp:lastModifiedBy>
  <cp:lastPrinted>2020-09-02T07:38:00Z</cp:lastPrinted>
  <dcterms:modified xsi:type="dcterms:W3CDTF">2020-09-02T08:14:32Z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