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pStyle w:val="16"/>
        <w:wordWrap/>
        <w:rPr>
          <w:rFonts w:hint="eastAsia" w:ascii="仿宋_GB2312" w:hAnsi="仿宋_GB2312" w:eastAsia="仿宋_GB2312" w:cs="仿宋_GB2312"/>
          <w:sz w:val="32"/>
          <w:szCs w:val="32"/>
        </w:rPr>
      </w:pPr>
    </w:p>
    <w:p>
      <w:pPr>
        <w:spacing w:line="480" w:lineRule="exact"/>
        <w:jc w:val="right"/>
        <w:rPr>
          <w:rFonts w:hint="eastAsia" w:ascii="仿宋_GB2312" w:eastAsia="仿宋_GB2312"/>
          <w:sz w:val="32"/>
        </w:rPr>
      </w:pPr>
      <w:r>
        <w:rPr>
          <w:rFonts w:hint="eastAsia" w:ascii="仿宋_GB2312" w:eastAsia="仿宋_GB2312"/>
          <w:sz w:val="32"/>
        </w:rPr>
        <w:t>湛环建霞〔20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7</w:t>
      </w:r>
      <w:r>
        <w:rPr>
          <w:rFonts w:hint="eastAsia" w:ascii="仿宋_GB2312" w:eastAsia="仿宋_GB2312"/>
          <w:sz w:val="32"/>
        </w:rPr>
        <w:t>号</w:t>
      </w:r>
    </w:p>
    <w:p>
      <w:pPr>
        <w:spacing w:line="540" w:lineRule="exact"/>
        <w:rPr>
          <w:rFonts w:hint="eastAsia" w:ascii="仿宋_GB2312" w:eastAsia="仿宋_GB2312"/>
          <w:sz w:val="32"/>
          <w:szCs w:val="20"/>
        </w:rPr>
      </w:pPr>
    </w:p>
    <w:p>
      <w:pPr>
        <w:spacing w:line="520" w:lineRule="exact"/>
        <w:jc w:val="center"/>
        <w:rPr>
          <w:rFonts w:hint="eastAsia" w:eastAsia="小标宋"/>
          <w:sz w:val="44"/>
          <w:szCs w:val="44"/>
        </w:rPr>
      </w:pPr>
      <w:r>
        <w:rPr>
          <w:rFonts w:hint="eastAsia" w:eastAsia="小标宋"/>
          <w:sz w:val="44"/>
          <w:szCs w:val="44"/>
        </w:rPr>
        <w:t>关于湛江临港工业园污水处理厂（一期）工程</w:t>
      </w:r>
    </w:p>
    <w:p>
      <w:pPr>
        <w:spacing w:line="520" w:lineRule="exact"/>
        <w:jc w:val="center"/>
        <w:rPr>
          <w:rFonts w:hint="eastAsia" w:ascii="小标宋" w:eastAsia="小标宋"/>
          <w:sz w:val="44"/>
          <w:szCs w:val="44"/>
        </w:rPr>
      </w:pPr>
      <w:r>
        <w:rPr>
          <w:rFonts w:hint="eastAsia" w:eastAsia="小标宋"/>
          <w:sz w:val="44"/>
          <w:szCs w:val="44"/>
        </w:rPr>
        <w:t>环境影响报告书的</w:t>
      </w:r>
      <w:r>
        <w:rPr>
          <w:rFonts w:hint="eastAsia" w:ascii="小标宋" w:eastAsia="小标宋"/>
          <w:sz w:val="44"/>
          <w:szCs w:val="44"/>
        </w:rPr>
        <w:t>批复</w:t>
      </w:r>
    </w:p>
    <w:p>
      <w:pPr>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湛江临港工业园投资开发有限公司：</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rPr>
        <w:t>你单位报批的《湛江临港工业园污水处理厂（一期）工程环境影响报告书》（以下简称“报告书”）等材料收悉。经研究，批复如下：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湛江临港工业园污水处理厂(一期）工程”位于广东省湛江临港工业园内，海港大道以东、兴港大道以南（厂址中心地理位置坐标为21°8'26.89"N，110°22'14.91"E）。项目总投资为3662.2万元，占地面积约3333m2，设计处理规模为3000m3/d，处理工艺采用“粗细格栅及提升泵+细格栅及平流沉砂池+A/A/O+高密度沉淀池+紫外消毒池”，设计出水标准执行广东省《水污染物排放限值》（DB44/26-2001）第二时段一级标准与《城镇污水处理厂污染物排放标准》（GB18918-2002）一级A标准之间的较严值，达标尾水经污水专管排至湛江港（南柳河宝满水闸下游出海口处）排放。工程服务范围为东至石头村，西至北月村，北至湖光路，南至南海海岸线（不包含宝满村、仙塘村、调罗村、北月村共四条自然村及中国石化湛江东兴石油化工有限公司）。项目定员编制为12人，工作制度为年工作365天，采用3班制，每班8小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根据</w:t>
      </w:r>
      <w:r>
        <w:rPr>
          <w:rFonts w:hint="eastAsia" w:ascii="仿宋" w:hAnsi="仿宋" w:eastAsia="仿宋" w:cs="仿宋"/>
          <w:sz w:val="32"/>
          <w:szCs w:val="32"/>
          <w:lang w:eastAsia="zh-CN"/>
        </w:rPr>
        <w:t>报告书</w:t>
      </w:r>
      <w:r>
        <w:rPr>
          <w:rFonts w:hint="eastAsia" w:ascii="仿宋" w:hAnsi="仿宋" w:eastAsia="仿宋" w:cs="仿宋"/>
          <w:sz w:val="32"/>
          <w:szCs w:val="32"/>
        </w:rPr>
        <w:t>的评价结论及湛江市环境科学研究所《关于湛江临港工业园污水处理厂（一期）工程环境影响报告书的评估意见》（湛环技评</w:t>
      </w:r>
      <w:r>
        <w:rPr>
          <w:rFonts w:hint="eastAsia" w:ascii="仿宋" w:hAnsi="仿宋" w:eastAsia="仿宋" w:cs="仿宋"/>
          <w:sz w:val="32"/>
          <w:szCs w:val="32"/>
          <w:lang w:eastAsia="zh-CN"/>
        </w:rPr>
        <w:t>书</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号），在全面落实</w:t>
      </w:r>
      <w:r>
        <w:rPr>
          <w:rFonts w:hint="eastAsia" w:ascii="仿宋" w:hAnsi="仿宋" w:eastAsia="仿宋" w:cs="仿宋"/>
          <w:sz w:val="32"/>
          <w:szCs w:val="32"/>
          <w:lang w:eastAsia="zh-CN"/>
        </w:rPr>
        <w:t>报告书</w:t>
      </w:r>
      <w:r>
        <w:rPr>
          <w:rFonts w:hint="eastAsia" w:ascii="仿宋" w:hAnsi="仿宋" w:eastAsia="仿宋" w:cs="仿宋"/>
          <w:sz w:val="32"/>
          <w:szCs w:val="32"/>
        </w:rPr>
        <w:t>中提出的各项污染防治和风险防范措施，并确保污染物排放稳定达标且符合总量要求的前提下，项目按照</w:t>
      </w:r>
      <w:r>
        <w:rPr>
          <w:rFonts w:hint="eastAsia" w:ascii="仿宋" w:hAnsi="仿宋" w:eastAsia="仿宋" w:cs="仿宋"/>
          <w:sz w:val="32"/>
          <w:szCs w:val="32"/>
          <w:lang w:eastAsia="zh-CN"/>
        </w:rPr>
        <w:t>报告书</w:t>
      </w:r>
      <w:r>
        <w:rPr>
          <w:rFonts w:hint="eastAsia" w:ascii="仿宋" w:hAnsi="仿宋" w:eastAsia="仿宋" w:cs="仿宋"/>
          <w:sz w:val="32"/>
          <w:szCs w:val="32"/>
        </w:rPr>
        <w:t>中所列性质、规模、地点和拟采取的环境保护措施进行建设，从环境保护角度可行。我局原则通过对</w:t>
      </w:r>
      <w:r>
        <w:rPr>
          <w:rFonts w:hint="eastAsia" w:ascii="仿宋" w:hAnsi="仿宋" w:eastAsia="仿宋" w:cs="仿宋"/>
          <w:sz w:val="32"/>
          <w:szCs w:val="32"/>
          <w:lang w:eastAsia="zh-CN"/>
        </w:rPr>
        <w:t>报告书</w:t>
      </w:r>
      <w:r>
        <w:rPr>
          <w:rFonts w:hint="eastAsia" w:ascii="仿宋" w:hAnsi="仿宋" w:eastAsia="仿宋" w:cs="仿宋"/>
          <w:sz w:val="32"/>
          <w:szCs w:val="32"/>
        </w:rPr>
        <w:t>的审查，你公司应按照</w:t>
      </w:r>
      <w:r>
        <w:rPr>
          <w:rFonts w:hint="eastAsia" w:ascii="仿宋" w:hAnsi="仿宋" w:eastAsia="仿宋" w:cs="仿宋"/>
          <w:sz w:val="32"/>
          <w:szCs w:val="32"/>
          <w:lang w:eastAsia="zh-CN"/>
        </w:rPr>
        <w:t>报告书</w:t>
      </w:r>
      <w:r>
        <w:rPr>
          <w:rFonts w:hint="eastAsia" w:ascii="仿宋" w:hAnsi="仿宋" w:eastAsia="仿宋" w:cs="仿宋"/>
          <w:sz w:val="32"/>
          <w:szCs w:val="32"/>
        </w:rPr>
        <w:t>内容组织实施。</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、项目建设和运营中还应重点做好以下工作：</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）该项目须按规定的标准和程序进行验收，验收合格后方可投入使用。</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）该项目须加强环保管理和“三废”防治设施维护，严格按照国家标准规范及</w:t>
      </w:r>
      <w:r>
        <w:rPr>
          <w:rFonts w:hint="eastAsia" w:ascii="仿宋" w:hAnsi="仿宋" w:eastAsia="仿宋" w:cs="仿宋"/>
          <w:sz w:val="32"/>
          <w:szCs w:val="32"/>
          <w:lang w:eastAsia="zh-CN"/>
        </w:rPr>
        <w:t>报告书</w:t>
      </w:r>
      <w:r>
        <w:rPr>
          <w:rFonts w:hint="eastAsia" w:ascii="仿宋" w:hAnsi="仿宋" w:eastAsia="仿宋" w:cs="仿宋"/>
          <w:sz w:val="32"/>
          <w:szCs w:val="32"/>
        </w:rPr>
        <w:t>的要求做好各项污染防治措施，确保项目产生的废水、废气、噪声得到有效治理和持续稳定达标排放。</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该项目须按环评要求确保项目出水达标排放，排放口须按国家、广东省有关要求进行规范化设置，安装在线监控并与生态环境行政主管部门联网，并按照环境监测计划的要求进行项目污染源监测及环境质量监测；并按照按环评要求，当建设资金等问题得到解决后，该项目污水处理厂尾水应按照相关要求引至深海排放。</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该项目须确保废气治理设施正常运转，有效处理产生废气。</w:t>
      </w:r>
    </w:p>
    <w:p>
      <w:pPr>
        <w:pStyle w:val="16"/>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eastAsia="仿宋_GB2312" w:cs="Times New Roman"/>
          <w:color w:val="auto"/>
          <w:kern w:val="2"/>
          <w:sz w:val="32"/>
          <w:szCs w:val="22"/>
          <w:highlight w:val="none"/>
          <w:lang w:val="en-US" w:eastAsia="zh-CN" w:bidi="ar-SA"/>
        </w:rPr>
        <w:t>五</w:t>
      </w:r>
      <w:r>
        <w:rPr>
          <w:rFonts w:hint="eastAsia" w:ascii="Times New Roman" w:hAnsi="Times New Roman" w:eastAsia="仿宋_GB2312" w:cs="Times New Roman"/>
          <w:color w:val="auto"/>
          <w:kern w:val="2"/>
          <w:sz w:val="32"/>
          <w:szCs w:val="22"/>
          <w:highlight w:val="none"/>
          <w:lang w:val="en-US" w:eastAsia="zh-CN" w:bidi="ar-SA"/>
        </w:rPr>
        <w:t>）</w:t>
      </w:r>
      <w:r>
        <w:rPr>
          <w:rFonts w:hint="default" w:ascii="Times New Roman" w:hAnsi="Times New Roman" w:eastAsia="仿宋_GB2312" w:cs="Times New Roman"/>
          <w:color w:val="auto"/>
          <w:kern w:val="2"/>
          <w:sz w:val="32"/>
          <w:szCs w:val="22"/>
          <w:highlight w:val="none"/>
          <w:lang w:val="en-US" w:eastAsia="zh-CN" w:bidi="ar-SA"/>
        </w:rPr>
        <w:t>项目产生的固体废物须严格按照有关规范管理，不能随意堆放，如实记录产生固体废物的种类、数量、利用、贮存、处置、流向等信息，并建立管理台帐，存档备查</w:t>
      </w:r>
      <w:r>
        <w:rPr>
          <w:rFonts w:hint="eastAsia" w:ascii="Times New Roman" w:hAnsi="Times New Roman" w:eastAsia="仿宋_GB2312" w:cs="Times New Roman"/>
          <w:color w:val="auto"/>
          <w:kern w:val="2"/>
          <w:sz w:val="32"/>
          <w:szCs w:val="22"/>
          <w:highlight w:val="none"/>
          <w:lang w:val="en-US" w:eastAsia="zh-CN" w:bidi="ar-SA"/>
        </w:rPr>
        <w:t>；</w:t>
      </w:r>
      <w:r>
        <w:rPr>
          <w:rFonts w:hint="default" w:ascii="Times New Roman" w:hAnsi="Times New Roman" w:eastAsia="仿宋_GB2312" w:cs="Times New Roman"/>
          <w:color w:val="auto"/>
          <w:kern w:val="2"/>
          <w:sz w:val="32"/>
          <w:szCs w:val="22"/>
          <w:highlight w:val="none"/>
          <w:lang w:val="en-US" w:eastAsia="zh-CN" w:bidi="ar-SA"/>
        </w:rPr>
        <w:t>须将危险废物的产生、转移、利用及处置情况向</w:t>
      </w:r>
      <w:r>
        <w:rPr>
          <w:rFonts w:hint="eastAsia" w:ascii="Times New Roman" w:hAnsi="Times New Roman" w:eastAsia="仿宋_GB2312" w:cs="Times New Roman"/>
          <w:color w:val="auto"/>
          <w:kern w:val="2"/>
          <w:sz w:val="32"/>
          <w:szCs w:val="22"/>
          <w:highlight w:val="none"/>
          <w:lang w:val="en-US" w:eastAsia="zh-CN" w:bidi="ar-SA"/>
        </w:rPr>
        <w:t>生态环境</w:t>
      </w:r>
      <w:r>
        <w:rPr>
          <w:rFonts w:hint="default" w:ascii="Times New Roman" w:hAnsi="Times New Roman" w:eastAsia="仿宋_GB2312" w:cs="Times New Roman"/>
          <w:color w:val="auto"/>
          <w:kern w:val="2"/>
          <w:sz w:val="32"/>
          <w:szCs w:val="22"/>
          <w:highlight w:val="none"/>
          <w:lang w:val="en-US" w:eastAsia="zh-CN" w:bidi="ar-SA"/>
        </w:rPr>
        <w:t>主管部门进行申报和登记，并保证危险废物处理处置符合相应的环保标准，得到妥善无害化处置</w:t>
      </w:r>
      <w:r>
        <w:rPr>
          <w:rFonts w:hint="eastAsia" w:ascii="Times New Roman" w:hAnsi="Times New Roman" w:eastAsia="仿宋_GB2312" w:cs="Times New Roman"/>
          <w:color w:val="auto"/>
          <w:kern w:val="2"/>
          <w:sz w:val="32"/>
          <w:szCs w:val="22"/>
          <w:highlight w:val="none"/>
          <w:lang w:val="en-US" w:eastAsia="zh-CN" w:bidi="ar-SA"/>
        </w:rPr>
        <w:t>。</w:t>
      </w:r>
    </w:p>
    <w:p>
      <w:pPr>
        <w:pStyle w:val="16"/>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textAlignment w:val="auto"/>
        <w:rPr>
          <w:rFonts w:hint="eastAsia" w:ascii="Times New Roman" w:hAnsi="Times New Roman" w:eastAsia="仿宋_GB2312" w:cs="Times New Roman"/>
          <w:color w:val="auto"/>
          <w:kern w:val="2"/>
          <w:sz w:val="32"/>
          <w:szCs w:val="22"/>
          <w:highlight w:val="none"/>
          <w:lang w:val="en-US" w:eastAsia="zh-CN" w:bidi="ar-SA"/>
        </w:rPr>
      </w:pPr>
      <w:r>
        <w:rPr>
          <w:rFonts w:hint="eastAsia" w:ascii="Times New Roman" w:hAnsi="Times New Roman" w:eastAsia="仿宋_GB2312" w:cs="Times New Roman"/>
          <w:color w:val="auto"/>
          <w:kern w:val="2"/>
          <w:sz w:val="32"/>
          <w:szCs w:val="22"/>
          <w:highlight w:val="none"/>
          <w:lang w:val="en-US" w:eastAsia="zh-CN" w:bidi="ar-SA"/>
        </w:rPr>
        <w:t>（</w:t>
      </w:r>
      <w:r>
        <w:rPr>
          <w:rFonts w:hint="eastAsia" w:ascii="Times New Roman" w:eastAsia="仿宋_GB2312" w:cs="Times New Roman"/>
          <w:color w:val="auto"/>
          <w:kern w:val="2"/>
          <w:sz w:val="32"/>
          <w:szCs w:val="22"/>
          <w:highlight w:val="none"/>
          <w:lang w:val="en-US" w:eastAsia="zh-CN" w:bidi="ar-SA"/>
        </w:rPr>
        <w:t>六</w:t>
      </w:r>
      <w:r>
        <w:rPr>
          <w:rFonts w:hint="eastAsia" w:ascii="Times New Roman" w:hAnsi="Times New Roman" w:eastAsia="仿宋_GB2312" w:cs="Times New Roman"/>
          <w:color w:val="auto"/>
          <w:kern w:val="2"/>
          <w:sz w:val="32"/>
          <w:szCs w:val="22"/>
          <w:highlight w:val="none"/>
          <w:lang w:val="en-US" w:eastAsia="zh-CN" w:bidi="ar-SA"/>
        </w:rPr>
        <w:t>）</w:t>
      </w:r>
      <w:r>
        <w:rPr>
          <w:rFonts w:hint="default" w:ascii="Times New Roman" w:hAnsi="Times New Roman" w:eastAsia="仿宋_GB2312" w:cs="Times New Roman"/>
          <w:color w:val="auto"/>
          <w:kern w:val="2"/>
          <w:sz w:val="32"/>
          <w:szCs w:val="22"/>
          <w:highlight w:val="none"/>
          <w:lang w:val="en-US" w:eastAsia="zh-CN" w:bidi="ar-SA"/>
        </w:rPr>
        <w:t>该项目</w:t>
      </w:r>
      <w:r>
        <w:rPr>
          <w:rFonts w:hint="eastAsia" w:ascii="Times New Roman" w:hAnsi="Times New Roman" w:eastAsia="仿宋_GB2312" w:cs="Times New Roman"/>
          <w:color w:val="auto"/>
          <w:kern w:val="2"/>
          <w:sz w:val="32"/>
          <w:szCs w:val="22"/>
          <w:highlight w:val="none"/>
          <w:lang w:val="en-US" w:eastAsia="zh-CN" w:bidi="ar-SA"/>
        </w:rPr>
        <w:t>须落实施工期各项污染防治措施和生态保护措施，施工过程中须按要求做好环境污染源监测，按要求做好施工期产生的废弃物处理处置去向的记录并建立管理台账。</w:t>
      </w:r>
    </w:p>
    <w:p>
      <w:pPr>
        <w:keepNext w:val="0"/>
        <w:keepLines w:val="0"/>
        <w:pageBreakBefore w:val="0"/>
        <w:widowControl w:val="0"/>
        <w:kinsoku/>
        <w:wordWrap/>
        <w:overflowPunct/>
        <w:topLinePunct w:val="0"/>
        <w:bidi w:val="0"/>
        <w:adjustRightInd/>
        <w:snapToGrid/>
        <w:spacing w:line="540" w:lineRule="exact"/>
        <w:ind w:firstLine="566" w:firstLineChars="177"/>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、若项目的性质、规模、地点、工艺或者防治污染的措施发生重大变动，应重新报批项目的环境影响评价文件。</w:t>
      </w:r>
    </w:p>
    <w:p>
      <w:pPr>
        <w:keepNext w:val="0"/>
        <w:keepLines w:val="0"/>
        <w:pageBreakBefore w:val="0"/>
        <w:widowControl w:val="0"/>
        <w:kinsoku/>
        <w:wordWrap/>
        <w:overflowPunct/>
        <w:topLinePunct w:val="0"/>
        <w:bidi w:val="0"/>
        <w:adjustRightInd/>
        <w:snapToGrid/>
        <w:spacing w:line="540" w:lineRule="exact"/>
        <w:textAlignment w:val="auto"/>
        <w:rPr>
          <w:rFonts w:hint="eastAsia" w:ascii="仿宋" w:hAnsi="仿宋" w:eastAsia="仿宋" w:cs="仿宋"/>
        </w:rPr>
      </w:pPr>
    </w:p>
    <w:p>
      <w:pPr>
        <w:pStyle w:val="16"/>
        <w:rPr>
          <w:rFonts w:hint="eastAsia"/>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629" w:rightChars="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湛江市生态环境局霞山分局</w:t>
      </w:r>
    </w:p>
    <w:p>
      <w:pPr>
        <w:keepNext w:val="0"/>
        <w:keepLines w:val="0"/>
        <w:pageBreakBefore w:val="0"/>
        <w:widowControl w:val="0"/>
        <w:kinsoku/>
        <w:wordWrap/>
        <w:overflowPunct/>
        <w:topLinePunct w:val="0"/>
        <w:bidi w:val="0"/>
        <w:adjustRightInd/>
        <w:snapToGrid/>
        <w:spacing w:line="540" w:lineRule="exact"/>
        <w:ind w:left="4469" w:leftChars="2128" w:firstLine="0" w:firstLineChars="0"/>
        <w:textAlignment w:val="auto"/>
        <w:rPr>
          <w:rFonts w:ascii="仿宋_GB2312" w:eastAsia="仿宋_GB2312"/>
          <w:sz w:val="32"/>
          <w:szCs w:val="32"/>
        </w:rPr>
      </w:pPr>
      <w:r>
        <w:rPr>
          <w:rFonts w:hint="eastAsia" w:ascii="仿宋" w:hAnsi="仿宋" w:eastAsia="仿宋" w:cs="仿宋"/>
          <w:sz w:val="32"/>
          <w:szCs w:val="32"/>
          <w:lang w:val="en-US" w:eastAsia="zh-CN"/>
        </w:rPr>
        <w:t xml:space="preserve">       2020年4月20日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89ABA"/>
    <w:multiLevelType w:val="singleLevel"/>
    <w:tmpl w:val="F4C89ABA"/>
    <w:lvl w:ilvl="0" w:tentative="0">
      <w:start w:val="1"/>
      <w:numFmt w:val="chineseCounting"/>
      <w:suff w:val="nothing"/>
      <w:lvlText w:val="%1、"/>
      <w:lvlJc w:val="left"/>
      <w:rPr>
        <w:rFonts w:hint="eastAsia"/>
      </w:rPr>
    </w:lvl>
  </w:abstractNum>
  <w:abstractNum w:abstractNumId="1">
    <w:nsid w:val="617C7469"/>
    <w:multiLevelType w:val="singleLevel"/>
    <w:tmpl w:val="617C7469"/>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43BD7"/>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B187C8B"/>
    <w:rsid w:val="0EE7640C"/>
    <w:rsid w:val="10C65629"/>
    <w:rsid w:val="13E8376E"/>
    <w:rsid w:val="1DF77A3F"/>
    <w:rsid w:val="1E9E08B2"/>
    <w:rsid w:val="25776CA5"/>
    <w:rsid w:val="28E40D21"/>
    <w:rsid w:val="3BEE10C4"/>
    <w:rsid w:val="3E847D70"/>
    <w:rsid w:val="45986459"/>
    <w:rsid w:val="461116BA"/>
    <w:rsid w:val="50A1686B"/>
    <w:rsid w:val="513B5092"/>
    <w:rsid w:val="526B2160"/>
    <w:rsid w:val="581466B3"/>
    <w:rsid w:val="5CDE636C"/>
    <w:rsid w:val="68360B26"/>
    <w:rsid w:val="6AFB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qFormat="1" w:unhideWhenUsed="0" w:uiPriority="0" w:semiHidden="0"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720"/>
    </w:pPr>
    <w:rPr>
      <w:sz w:val="28"/>
    </w:rPr>
  </w:style>
  <w:style w:type="paragraph" w:styleId="4">
    <w:name w:val="E-mail Signature"/>
    <w:basedOn w:val="1"/>
    <w:next w:val="5"/>
    <w:qFormat/>
    <w:uiPriority w:val="0"/>
    <w:pPr>
      <w:spacing w:line="460" w:lineRule="exact"/>
      <w:ind w:firstLine="200"/>
    </w:pPr>
    <w:rPr>
      <w:rFonts w:ascii="Times New Roman" w:hAnsi="Times New Roman" w:eastAsia="宋体" w:cs="Times New Roman"/>
    </w:rPr>
  </w:style>
  <w:style w:type="paragraph" w:customStyle="1" w:styleId="5">
    <w:name w:val="文章"/>
    <w:basedOn w:val="1"/>
    <w:next w:val="6"/>
    <w:qFormat/>
    <w:uiPriority w:val="0"/>
    <w:pPr>
      <w:widowControl/>
      <w:spacing w:line="240" w:lineRule="auto"/>
      <w:ind w:firstLine="480"/>
      <w:jc w:val="center"/>
    </w:pPr>
    <w:rPr>
      <w:rFonts w:ascii="Times New Roman" w:hAnsi="Times New Roman" w:eastAsia="宋体" w:cs="Times New Roman"/>
      <w:sz w:val="26"/>
    </w:rPr>
  </w:style>
  <w:style w:type="paragraph" w:styleId="6">
    <w:name w:val="List"/>
    <w:basedOn w:val="1"/>
    <w:next w:val="7"/>
    <w:unhideWhenUsed/>
    <w:qFormat/>
    <w:uiPriority w:val="0"/>
    <w:pPr>
      <w:jc w:val="center"/>
    </w:pPr>
    <w:rPr>
      <w:sz w:val="24"/>
      <w:szCs w:val="28"/>
    </w:rPr>
  </w:style>
  <w:style w:type="paragraph" w:styleId="7">
    <w:name w:val="List Bullet 2"/>
    <w:basedOn w:val="1"/>
    <w:next w:val="8"/>
    <w:semiHidden/>
    <w:unhideWhenUsed/>
    <w:qFormat/>
    <w:uiPriority w:val="99"/>
    <w:pPr>
      <w:numPr>
        <w:ilvl w:val="0"/>
        <w:numId w:val="1"/>
      </w:numPr>
    </w:pPr>
  </w:style>
  <w:style w:type="paragraph" w:customStyle="1" w:styleId="8">
    <w:name w:val="xl70"/>
    <w:basedOn w:val="1"/>
    <w:next w:val="9"/>
    <w:qFormat/>
    <w:uiPriority w:val="0"/>
    <w:pPr>
      <w:widowControl/>
      <w:spacing w:before="280" w:after="280" w:line="240" w:lineRule="auto"/>
      <w:ind w:firstLine="0"/>
    </w:pPr>
    <w:rPr>
      <w:rFonts w:ascii="宋体" w:hAnsi="Times New Roman" w:eastAsia="宋体" w:cs="Times New Roman"/>
    </w:rPr>
  </w:style>
  <w:style w:type="paragraph" w:customStyle="1" w:styleId="9">
    <w:name w:val="正文缩进1"/>
    <w:basedOn w:val="1"/>
    <w:next w:val="10"/>
    <w:qFormat/>
    <w:uiPriority w:val="0"/>
    <w:pPr>
      <w:ind w:firstLine="420" w:firstLineChars="200"/>
    </w:pPr>
    <w:rPr>
      <w:rFonts w:ascii="Times New Roman" w:hAnsi="Times New Roman" w:eastAsia="宋体" w:cs="Times New Roman"/>
      <w:sz w:val="24"/>
      <w:szCs w:val="24"/>
    </w:rPr>
  </w:style>
  <w:style w:type="paragraph" w:customStyle="1" w:styleId="10">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1">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1"/>
      <w:szCs w:val="22"/>
      <w:lang w:val="en-US" w:eastAsia="zh-CN" w:bidi="ar"/>
    </w:rPr>
  </w:style>
  <w:style w:type="paragraph" w:styleId="12">
    <w:name w:val="Body Text"/>
    <w:basedOn w:val="1"/>
    <w:qFormat/>
    <w:uiPriority w:val="0"/>
    <w:pPr>
      <w:spacing w:line="0" w:lineRule="atLeast"/>
    </w:pPr>
    <w:rPr>
      <w:rFonts w:eastAsia="小标宋"/>
      <w:sz w:val="44"/>
    </w:rPr>
  </w:style>
  <w:style w:type="paragraph" w:styleId="13">
    <w:name w:val="toc 2"/>
    <w:basedOn w:val="1"/>
    <w:next w:val="1"/>
    <w:qFormat/>
    <w:uiPriority w:val="0"/>
    <w:pPr>
      <w:ind w:left="210"/>
      <w:jc w:val="left"/>
    </w:pPr>
    <w:rPr>
      <w:rFonts w:ascii="Calibri" w:hAnsi="Calibri" w:eastAsia="宋体" w:cs="Calibri"/>
      <w:smallCaps/>
      <w:sz w:val="20"/>
    </w:rPr>
  </w:style>
  <w:style w:type="paragraph" w:customStyle="1" w:styleId="16">
    <w:name w:val="Default"/>
    <w:basedOn w:val="17"/>
    <w:next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pPr>
      <w:adjustRightInd w:val="0"/>
    </w:pPr>
    <w:rPr>
      <w:rFonts w:ascii="宋体" w:hAnsi="Courier New"/>
      <w:szCs w:val="20"/>
    </w:rPr>
  </w:style>
  <w:style w:type="paragraph" w:customStyle="1" w:styleId="18">
    <w:name w:val="样式35"/>
    <w:basedOn w:val="19"/>
    <w:next w:val="23"/>
    <w:qFormat/>
    <w:uiPriority w:val="0"/>
    <w:pPr>
      <w:tabs>
        <w:tab w:val="left" w:pos="0"/>
        <w:tab w:val="left" w:pos="360"/>
        <w:tab w:val="left" w:pos="540"/>
        <w:tab w:val="left" w:pos="567"/>
      </w:tabs>
      <w:spacing w:line="312" w:lineRule="auto"/>
      <w:ind w:firstLine="567"/>
    </w:pPr>
    <w:rPr>
      <w:rFonts w:ascii="宋体" w:hAnsi="Times New Roman" w:eastAsia="宋体" w:cs="Times New Roman"/>
      <w:sz w:val="28"/>
    </w:rPr>
  </w:style>
  <w:style w:type="paragraph" w:customStyle="1" w:styleId="19">
    <w:name w:val="样式26"/>
    <w:basedOn w:val="20"/>
    <w:qFormat/>
    <w:uiPriority w:val="0"/>
    <w:pPr>
      <w:tabs>
        <w:tab w:val="left" w:pos="0"/>
        <w:tab w:val="left" w:pos="360"/>
        <w:tab w:val="left" w:pos="540"/>
        <w:tab w:val="left" w:pos="567"/>
      </w:tabs>
    </w:pPr>
  </w:style>
  <w:style w:type="paragraph" w:customStyle="1" w:styleId="20">
    <w:name w:val="样式21"/>
    <w:basedOn w:val="21"/>
    <w:qFormat/>
    <w:uiPriority w:val="0"/>
    <w:pPr>
      <w:tabs>
        <w:tab w:val="left" w:pos="360"/>
        <w:tab w:val="left" w:pos="567"/>
      </w:tabs>
      <w:spacing w:before="120" w:beforeLines="0" w:after="120" w:afterLines="0"/>
      <w:ind w:hanging="992"/>
    </w:pPr>
    <w:rPr>
      <w:kern w:val="0"/>
    </w:rPr>
  </w:style>
  <w:style w:type="paragraph" w:customStyle="1" w:styleId="21">
    <w:name w:val="样式5"/>
    <w:basedOn w:val="22"/>
    <w:qFormat/>
    <w:uiPriority w:val="0"/>
    <w:pPr>
      <w:tabs>
        <w:tab w:val="left" w:pos="360"/>
        <w:tab w:val="left" w:pos="567"/>
      </w:tabs>
      <w:ind w:hanging="567" w:firstLineChars="0"/>
    </w:pPr>
    <w:rPr>
      <w:rFonts w:cs="Times New Roman"/>
    </w:rPr>
  </w:style>
  <w:style w:type="paragraph" w:customStyle="1" w:styleId="22">
    <w:name w:val="样式12"/>
    <w:basedOn w:val="1"/>
    <w:qFormat/>
    <w:uiPriority w:val="0"/>
    <w:pPr>
      <w:keepNext/>
      <w:keepLines/>
      <w:tabs>
        <w:tab w:val="left" w:pos="360"/>
      </w:tabs>
      <w:adjustRightInd w:val="0"/>
      <w:snapToGrid w:val="0"/>
      <w:spacing w:before="156" w:beforeLines="50" w:after="156" w:afterLines="50" w:line="360" w:lineRule="auto"/>
      <w:ind w:left="567" w:hanging="992" w:firstLineChars="200"/>
      <w:outlineLvl w:val="1"/>
    </w:pPr>
    <w:rPr>
      <w:rFonts w:eastAsia="黑体"/>
      <w:sz w:val="28"/>
      <w:szCs w:val="28"/>
    </w:rPr>
  </w:style>
  <w:style w:type="paragraph" w:customStyle="1" w:styleId="23">
    <w:name w:val="font6"/>
    <w:basedOn w:val="1"/>
    <w:next w:val="13"/>
    <w:qFormat/>
    <w:uiPriority w:val="0"/>
    <w:pPr>
      <w:widowControl/>
      <w:spacing w:before="280" w:after="280" w:line="240" w:lineRule="auto"/>
      <w:ind w:firstLine="0"/>
    </w:pPr>
    <w:rPr>
      <w:rFonts w:ascii="Times New Roman" w:hAnsi="Times New Roman" w:eastAsia="宋体" w:cs="Times New Roman"/>
      <w:sz w:val="21"/>
    </w:rPr>
  </w:style>
  <w:style w:type="paragraph" w:customStyle="1" w:styleId="24">
    <w:name w:val="样式 方正小标宋简体 小二 居中 行距: 固定值 22 磅"/>
    <w:basedOn w:val="1"/>
    <w:qFormat/>
    <w:uiPriority w:val="0"/>
    <w:pPr>
      <w:jc w:val="center"/>
    </w:pPr>
    <w:rPr>
      <w:rFonts w:ascii="方正小标宋简体" w:eastAsia="方正小标宋简体" w:cs="宋体"/>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503</Characters>
  <Lines>4</Lines>
  <Paragraphs>1</Paragraphs>
  <TotalTime>0</TotalTime>
  <ScaleCrop>false</ScaleCrop>
  <LinksUpToDate>false</LinksUpToDate>
  <CharactersWithSpaces>590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sghnc</cp:lastModifiedBy>
  <cp:lastPrinted>2020-04-21T03:43:14Z</cp:lastPrinted>
  <dcterms:modified xsi:type="dcterms:W3CDTF">2020-04-24T07:52:07Z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