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20"/>
        </w:tabs>
        <w:wordWrap w:val="0"/>
        <w:spacing w:line="580" w:lineRule="exact"/>
        <w:jc w:val="right"/>
        <w:rPr>
          <w:rFonts w:hint="eastAsia" w:ascii="仿宋_GB2312" w:hAnsi="仿宋_GB2312" w:eastAsia="仿宋_GB2312" w:cs="仿宋_GB2312"/>
          <w:sz w:val="32"/>
          <w:szCs w:val="32"/>
        </w:rPr>
      </w:pPr>
    </w:p>
    <w:p>
      <w:pPr>
        <w:pStyle w:val="14"/>
        <w:wordWrap/>
        <w:rPr>
          <w:rFonts w:hint="eastAsia" w:ascii="仿宋_GB2312" w:hAnsi="仿宋_GB2312" w:eastAsia="仿宋_GB2312" w:cs="仿宋_GB2312"/>
          <w:sz w:val="32"/>
          <w:szCs w:val="32"/>
        </w:rPr>
      </w:pPr>
    </w:p>
    <w:p>
      <w:pPr>
        <w:spacing w:line="480" w:lineRule="exact"/>
        <w:jc w:val="right"/>
        <w:rPr>
          <w:rFonts w:hint="eastAsia" w:ascii="仿宋_GB2312" w:eastAsia="仿宋_GB2312"/>
          <w:sz w:val="32"/>
        </w:rPr>
      </w:pPr>
      <w:r>
        <w:rPr>
          <w:rFonts w:hint="eastAsia" w:ascii="仿宋_GB2312" w:eastAsia="仿宋_GB2312"/>
          <w:sz w:val="32"/>
        </w:rPr>
        <w:t>湛环建霞〔20</w:t>
      </w:r>
      <w:r>
        <w:rPr>
          <w:rFonts w:hint="eastAsia" w:ascii="仿宋_GB2312" w:eastAsia="仿宋_GB2312"/>
          <w:sz w:val="32"/>
          <w:lang w:val="en-US" w:eastAsia="zh-CN"/>
        </w:rPr>
        <w:t>20</w:t>
      </w:r>
      <w:r>
        <w:rPr>
          <w:rFonts w:hint="eastAsia" w:ascii="仿宋_GB2312" w:eastAsia="仿宋_GB2312"/>
          <w:sz w:val="32"/>
        </w:rPr>
        <w:t>〕</w:t>
      </w:r>
      <w:r>
        <w:rPr>
          <w:rFonts w:hint="eastAsia" w:ascii="仿宋_GB2312" w:eastAsia="仿宋_GB2312"/>
          <w:sz w:val="32"/>
          <w:lang w:val="en-US" w:eastAsia="zh-CN"/>
        </w:rPr>
        <w:t>5</w:t>
      </w:r>
      <w:r>
        <w:rPr>
          <w:rFonts w:hint="eastAsia" w:ascii="仿宋_GB2312" w:eastAsia="仿宋_GB2312"/>
          <w:sz w:val="32"/>
        </w:rPr>
        <w:t>号</w:t>
      </w:r>
    </w:p>
    <w:p>
      <w:pPr>
        <w:spacing w:line="540" w:lineRule="exact"/>
        <w:rPr>
          <w:rFonts w:hint="eastAsia" w:ascii="仿宋_GB2312" w:eastAsia="仿宋_GB2312"/>
          <w:sz w:val="32"/>
          <w:szCs w:val="20"/>
        </w:rPr>
      </w:pPr>
    </w:p>
    <w:p>
      <w:pPr>
        <w:spacing w:line="520" w:lineRule="exact"/>
        <w:jc w:val="center"/>
        <w:rPr>
          <w:rFonts w:hint="eastAsia" w:ascii="小标宋" w:eastAsia="小标宋"/>
          <w:sz w:val="44"/>
          <w:szCs w:val="44"/>
        </w:rPr>
      </w:pPr>
      <w:r>
        <w:rPr>
          <w:rFonts w:hint="eastAsia" w:eastAsia="小标宋"/>
          <w:sz w:val="44"/>
          <w:szCs w:val="44"/>
        </w:rPr>
        <w:t>关于</w:t>
      </w:r>
      <w:r>
        <w:rPr>
          <w:rFonts w:hint="eastAsia" w:eastAsia="小标宋"/>
          <w:sz w:val="44"/>
          <w:szCs w:val="44"/>
          <w:lang w:eastAsia="zh-CN"/>
        </w:rPr>
        <w:t>中纺粮油（湛江）工业有限公司年产</w:t>
      </w:r>
      <w:r>
        <w:rPr>
          <w:rFonts w:hint="eastAsia" w:eastAsia="小标宋"/>
          <w:sz w:val="44"/>
          <w:szCs w:val="44"/>
          <w:lang w:val="en-US" w:eastAsia="zh-CN"/>
        </w:rPr>
        <w:t>15万吨食用植物油中包装生产线扩建</w:t>
      </w:r>
      <w:r>
        <w:rPr>
          <w:rFonts w:hint="eastAsia" w:eastAsia="小标宋"/>
          <w:sz w:val="44"/>
          <w:szCs w:val="44"/>
          <w:lang w:eastAsia="zh-CN"/>
        </w:rPr>
        <w:t>项目</w:t>
      </w:r>
      <w:r>
        <w:rPr>
          <w:rFonts w:hint="eastAsia" w:eastAsia="小标宋"/>
          <w:sz w:val="44"/>
          <w:szCs w:val="44"/>
        </w:rPr>
        <w:t>环境影响报告表的</w:t>
      </w:r>
      <w:r>
        <w:rPr>
          <w:rFonts w:hint="eastAsia" w:ascii="小标宋" w:eastAsia="小标宋"/>
          <w:sz w:val="44"/>
          <w:szCs w:val="44"/>
        </w:rPr>
        <w:t>批复</w:t>
      </w:r>
    </w:p>
    <w:p>
      <w:pPr>
        <w:rPr>
          <w:rFonts w:hint="eastAsia" w:ascii="仿宋_GB2312" w:eastAsia="仿宋_GB2312"/>
          <w:sz w:val="32"/>
          <w:szCs w:val="32"/>
        </w:rPr>
      </w:pPr>
    </w:p>
    <w:p>
      <w:pPr>
        <w:rPr>
          <w:rFonts w:hint="eastAsia" w:ascii="仿宋" w:hAnsi="仿宋" w:eastAsia="仿宋" w:cs="仿宋"/>
          <w:sz w:val="32"/>
          <w:szCs w:val="32"/>
        </w:rPr>
      </w:pPr>
      <w:r>
        <w:rPr>
          <w:rFonts w:hint="eastAsia" w:ascii="仿宋" w:hAnsi="仿宋" w:eastAsia="仿宋" w:cs="仿宋"/>
          <w:sz w:val="32"/>
          <w:szCs w:val="32"/>
        </w:rPr>
        <w:t>中纺粮油（湛江）工业有限公司：</w:t>
      </w:r>
    </w:p>
    <w:p>
      <w:pPr>
        <w:ind w:firstLine="566" w:firstLineChars="177"/>
        <w:rPr>
          <w:rFonts w:hint="eastAsia" w:ascii="仿宋" w:hAnsi="仿宋" w:eastAsia="仿宋" w:cs="仿宋"/>
          <w:sz w:val="32"/>
          <w:szCs w:val="32"/>
        </w:rPr>
      </w:pPr>
      <w:r>
        <w:rPr>
          <w:rFonts w:hint="eastAsia" w:ascii="仿宋" w:hAnsi="仿宋" w:eastAsia="仿宋" w:cs="仿宋"/>
          <w:sz w:val="32"/>
          <w:szCs w:val="32"/>
        </w:rPr>
        <w:t>你单位报批的《中纺粮油（湛江）工业有</w:t>
      </w:r>
      <w:bookmarkStart w:id="0" w:name="_GoBack"/>
      <w:bookmarkEnd w:id="0"/>
      <w:r>
        <w:rPr>
          <w:rFonts w:hint="eastAsia" w:ascii="仿宋" w:hAnsi="仿宋" w:eastAsia="仿宋" w:cs="仿宋"/>
          <w:sz w:val="32"/>
          <w:szCs w:val="32"/>
        </w:rPr>
        <w:t>限公司年加工15万吨食用植物油中包装生产线扩建项目环境影响报告表》（以下简称“报告表”）等材料收悉。经研究，批复如下：</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项目选址于中纺粮油（湛江）工业有限公司4号厂房及精炼车间（中心坐标：E110°23′58.48″，N 21°23′57.73″)，总占地面积770.91m2，总建筑面积1541.82m2，主要在公司4号厂房（原检测中心1、2层）新增1条中包装生产线，主要用于包装瓶生产及油品灌装，年加工1500万个PET瓶坯，年灌装15万吨植物油；并在精炼车间新增一台2.603t/h燃天然气高压蒸汽锅炉，其产生的高温蒸汽用于脱臭车间脱臭，锅炉燃烧废气余热用于加热现有蒸汽。原项目的主体功能不变，生产工艺系统、设备均不发生改变。项目建设内容主要包括吹瓶车间、灌装车间、包装车间、成品仓库、高压蒸汽锅炉、辅料仓库及储油罐等；主要生产设备为吹瓶机、灌装机、装箱机、过滤机、冷干机及高压蒸汽锅炉等；项目主要原辅材料包括自产及外购的植物油、PET瓶坯、塑料提手、瓶盖、纸箱以及天然气等。项目主要生产工艺为：外购瓶坯→吹瓶→冷却→用过滤后的植物油进行灌装→人工加盖→加提手→油检→装箱封箱→码垛→出品。项目总投资246万元，环保投资15万元，环保投资占总投资比例的6.1%。项目劳动定员31人，由现有职工调度，不另新增工作人员，均在厂区内住宿，项目采用一天三班制，每班8小时，年工作300天。</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根据</w:t>
      </w:r>
      <w:r>
        <w:rPr>
          <w:rFonts w:hint="eastAsia" w:ascii="仿宋" w:hAnsi="仿宋" w:eastAsia="仿宋" w:cs="仿宋"/>
          <w:sz w:val="32"/>
          <w:szCs w:val="32"/>
          <w:lang w:eastAsia="zh-CN"/>
        </w:rPr>
        <w:t>报告表</w:t>
      </w:r>
      <w:r>
        <w:rPr>
          <w:rFonts w:hint="eastAsia" w:ascii="仿宋" w:hAnsi="仿宋" w:eastAsia="仿宋" w:cs="仿宋"/>
          <w:sz w:val="32"/>
          <w:szCs w:val="32"/>
        </w:rPr>
        <w:t>的评价结论及湛江市环境科学研究所《关于中纺粮油（湛江）工业有限公司年产15万吨食用植物油中包装生产线扩建项目环境影响报告表的技术评估意见》（湛环技评表〔20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号），在全面落实</w:t>
      </w:r>
      <w:r>
        <w:rPr>
          <w:rFonts w:hint="eastAsia" w:ascii="仿宋" w:hAnsi="仿宋" w:eastAsia="仿宋" w:cs="仿宋"/>
          <w:sz w:val="32"/>
          <w:szCs w:val="32"/>
          <w:lang w:eastAsia="zh-CN"/>
        </w:rPr>
        <w:t>报告表</w:t>
      </w:r>
      <w:r>
        <w:rPr>
          <w:rFonts w:hint="eastAsia" w:ascii="仿宋" w:hAnsi="仿宋" w:eastAsia="仿宋" w:cs="仿宋"/>
          <w:sz w:val="32"/>
          <w:szCs w:val="32"/>
        </w:rPr>
        <w:t>中提出的各项污染防治和风险防范措施，并确保污染物排放稳定达标且符合总量要求的前提下，项目按照</w:t>
      </w:r>
      <w:r>
        <w:rPr>
          <w:rFonts w:hint="eastAsia" w:ascii="仿宋" w:hAnsi="仿宋" w:eastAsia="仿宋" w:cs="仿宋"/>
          <w:sz w:val="32"/>
          <w:szCs w:val="32"/>
          <w:lang w:eastAsia="zh-CN"/>
        </w:rPr>
        <w:t>报告表</w:t>
      </w:r>
      <w:r>
        <w:rPr>
          <w:rFonts w:hint="eastAsia" w:ascii="仿宋" w:hAnsi="仿宋" w:eastAsia="仿宋" w:cs="仿宋"/>
          <w:sz w:val="32"/>
          <w:szCs w:val="32"/>
        </w:rPr>
        <w:t>中所列性质、规模、地点和拟采取的环境保护措施进行建设，从环境保护角度可行。我局原则通过对报告</w:t>
      </w:r>
      <w:r>
        <w:rPr>
          <w:rFonts w:hint="eastAsia" w:ascii="仿宋" w:hAnsi="仿宋" w:eastAsia="仿宋" w:cs="仿宋"/>
          <w:sz w:val="32"/>
          <w:szCs w:val="32"/>
          <w:lang w:eastAsia="zh-CN"/>
        </w:rPr>
        <w:t>表</w:t>
      </w:r>
      <w:r>
        <w:rPr>
          <w:rFonts w:hint="eastAsia" w:ascii="仿宋" w:hAnsi="仿宋" w:eastAsia="仿宋" w:cs="仿宋"/>
          <w:sz w:val="32"/>
          <w:szCs w:val="32"/>
        </w:rPr>
        <w:t>的审查，你公司应按照报告</w:t>
      </w:r>
      <w:r>
        <w:rPr>
          <w:rFonts w:hint="eastAsia" w:ascii="仿宋" w:hAnsi="仿宋" w:eastAsia="仿宋" w:cs="仿宋"/>
          <w:sz w:val="32"/>
          <w:szCs w:val="32"/>
          <w:lang w:eastAsia="zh-CN"/>
        </w:rPr>
        <w:t>表</w:t>
      </w:r>
      <w:r>
        <w:rPr>
          <w:rFonts w:hint="eastAsia" w:ascii="仿宋" w:hAnsi="仿宋" w:eastAsia="仿宋" w:cs="仿宋"/>
          <w:sz w:val="32"/>
          <w:szCs w:val="32"/>
        </w:rPr>
        <w:t>内容组织实施。</w:t>
      </w:r>
    </w:p>
    <w:p>
      <w:pPr>
        <w:spacing w:line="600" w:lineRule="exact"/>
        <w:ind w:firstLine="566" w:firstLineChars="177"/>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、项目建设和运营中还应重点做好以下工作：</w:t>
      </w:r>
    </w:p>
    <w:p>
      <w:pPr>
        <w:spacing w:line="600" w:lineRule="exact"/>
        <w:ind w:firstLine="566" w:firstLineChars="177"/>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该项目须严格执行“三同时”制度，并落实各项污染防治措施，污染防治设施要同时设计、同时施工、同时投入运行。项目竣工后，你公司须按规定的标准和程序，对配套建设的环境保护设施进行验收，验收合格后方可投入使用。</w:t>
      </w:r>
    </w:p>
    <w:p>
      <w:pPr>
        <w:spacing w:line="600" w:lineRule="exact"/>
        <w:ind w:firstLine="566" w:firstLineChars="177"/>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）该项目须加强环保管理和“三废”防治设施维护，严格按照国家标准规范及报告表的要求做好各项污染防治措施，确保项目产生的废水、废气、噪声得到有效治理和持续稳定达标排放。</w:t>
      </w:r>
    </w:p>
    <w:p>
      <w:pPr>
        <w:pStyle w:val="14"/>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Times New Roman" w:hAnsi="Times New Roman" w:eastAsia="仿宋_GB2312" w:cs="Times New Roman"/>
          <w:color w:val="auto"/>
          <w:kern w:val="2"/>
          <w:sz w:val="32"/>
          <w:szCs w:val="22"/>
          <w:highlight w:val="none"/>
          <w:lang w:val="en-US" w:eastAsia="zh-CN" w:bidi="ar-SA"/>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Times New Roman" w:eastAsia="仿宋_GB2312"/>
          <w:color w:val="auto"/>
          <w:sz w:val="32"/>
          <w:szCs w:val="22"/>
          <w:lang w:eastAsia="zh-CN"/>
        </w:rPr>
        <w:t>该</w:t>
      </w:r>
      <w:r>
        <w:rPr>
          <w:rFonts w:hint="default" w:ascii="Times New Roman" w:hAnsi="Times New Roman" w:eastAsia="仿宋_GB2312" w:cs="Times New Roman"/>
          <w:color w:val="auto"/>
          <w:kern w:val="2"/>
          <w:sz w:val="32"/>
          <w:szCs w:val="22"/>
          <w:highlight w:val="none"/>
          <w:lang w:val="en-US" w:eastAsia="zh-CN" w:bidi="ar-SA"/>
        </w:rPr>
        <w:t>项目生产过程产生的固体废物须严格按照有关规范管理，</w:t>
      </w:r>
      <w:r>
        <w:rPr>
          <w:rFonts w:hint="eastAsia" w:ascii="Times New Roman" w:hAnsi="Times New Roman" w:eastAsia="仿宋_GB2312" w:cs="Times New Roman"/>
          <w:color w:val="auto"/>
          <w:kern w:val="2"/>
          <w:sz w:val="32"/>
          <w:szCs w:val="22"/>
          <w:highlight w:val="none"/>
          <w:lang w:val="en-US" w:eastAsia="zh-CN" w:bidi="ar-SA"/>
        </w:rPr>
        <w:t>做好储存场所的防渗防漏措施，</w:t>
      </w:r>
      <w:r>
        <w:rPr>
          <w:rFonts w:hint="default" w:ascii="Times New Roman" w:hAnsi="Times New Roman" w:eastAsia="仿宋_GB2312" w:cs="Times New Roman"/>
          <w:color w:val="auto"/>
          <w:kern w:val="2"/>
          <w:sz w:val="32"/>
          <w:szCs w:val="22"/>
          <w:highlight w:val="none"/>
          <w:lang w:val="en-US" w:eastAsia="zh-CN" w:bidi="ar-SA"/>
        </w:rPr>
        <w:t>不能随意堆放，如实记录产生固体废物的种类、数量、利用、贮存、处置、流向等信息，存档备查</w:t>
      </w:r>
      <w:r>
        <w:rPr>
          <w:rFonts w:hint="eastAsia" w:ascii="Times New Roman" w:hAnsi="Times New Roman" w:eastAsia="仿宋_GB2312" w:cs="Times New Roman"/>
          <w:color w:val="auto"/>
          <w:kern w:val="2"/>
          <w:sz w:val="32"/>
          <w:szCs w:val="22"/>
          <w:highlight w:val="none"/>
          <w:lang w:val="en-US" w:eastAsia="zh-CN" w:bidi="ar-SA"/>
        </w:rPr>
        <w:t>。</w:t>
      </w:r>
    </w:p>
    <w:p>
      <w:pPr>
        <w:spacing w:line="600" w:lineRule="exact"/>
        <w:ind w:firstLine="566" w:firstLineChars="177"/>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Times New Roman" w:hAnsi="Times New Roman" w:eastAsia="仿宋_GB2312" w:cs="Times New Roman"/>
          <w:color w:val="000000"/>
          <w:kern w:val="2"/>
          <w:sz w:val="32"/>
          <w:szCs w:val="22"/>
          <w:lang w:val="en-US" w:eastAsia="zh-CN" w:bidi="ar-SA"/>
        </w:rPr>
        <w:t>该项目须严格落实《合成树脂工业污染物排放标准》（GB31572-2015）相关规定及要求。</w:t>
      </w:r>
    </w:p>
    <w:p>
      <w:pPr>
        <w:spacing w:line="600" w:lineRule="exact"/>
        <w:ind w:firstLine="566" w:firstLineChars="177"/>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该项目生产期间须确保废气治理设施正常运转，有效处理产生废气。</w:t>
      </w:r>
    </w:p>
    <w:p>
      <w:pPr>
        <w:spacing w:line="600" w:lineRule="exact"/>
        <w:ind w:firstLine="566" w:firstLineChars="177"/>
        <w:rPr>
          <w:rFonts w:hint="eastAsia" w:ascii="Times New Roman" w:eastAsia="仿宋_GB2312" w:cs="Times New Roman"/>
          <w:color w:val="000000"/>
          <w:kern w:val="2"/>
          <w:sz w:val="32"/>
          <w:szCs w:val="22"/>
          <w:lang w:val="en-US" w:eastAsia="zh-CN" w:bidi="ar-SA"/>
        </w:rPr>
      </w:pPr>
      <w:r>
        <w:rPr>
          <w:rFonts w:hint="eastAsia" w:ascii="Times New Roman" w:eastAsia="仿宋_GB2312" w:cs="Times New Roman"/>
          <w:color w:val="000000"/>
          <w:kern w:val="2"/>
          <w:sz w:val="32"/>
          <w:szCs w:val="22"/>
          <w:lang w:val="en-US" w:eastAsia="zh-CN" w:bidi="ar-SA"/>
        </w:rPr>
        <w:t>（六）该项目须确保原项目VOCs“一企一策”整治工程完成后、新的废气处理设施投入使用后才投入营运，须确保项目有机废气有效收集引至该废气处理设施处理。</w:t>
      </w:r>
    </w:p>
    <w:p>
      <w:pPr>
        <w:spacing w:line="600" w:lineRule="exact"/>
        <w:ind w:firstLine="566" w:firstLineChars="177"/>
        <w:rPr>
          <w:rFonts w:hint="default" w:ascii="Times New Roman" w:eastAsia="仿宋_GB2312" w:cs="Times New Roman"/>
          <w:color w:val="000000"/>
          <w:kern w:val="2"/>
          <w:sz w:val="32"/>
          <w:szCs w:val="22"/>
          <w:lang w:val="en-US" w:eastAsia="zh-CN" w:bidi="ar-SA"/>
        </w:rPr>
      </w:pPr>
      <w:r>
        <w:rPr>
          <w:rFonts w:hint="eastAsia" w:ascii="Times New Roman" w:eastAsia="仿宋_GB2312" w:cs="Times New Roman"/>
          <w:color w:val="000000"/>
          <w:kern w:val="2"/>
          <w:sz w:val="32"/>
          <w:szCs w:val="22"/>
          <w:lang w:val="en-US" w:eastAsia="zh-CN" w:bidi="ar-SA"/>
        </w:rPr>
        <w:t>（七）该项目新增VOCs排放量须确保能用VOCs“一企一策”整治工程减排量替代。</w:t>
      </w:r>
    </w:p>
    <w:p>
      <w:pPr>
        <w:spacing w:line="600" w:lineRule="exact"/>
        <w:ind w:firstLine="566" w:firstLineChars="177"/>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、若项目的性质、规模、地点、生产工艺或者防治污染的措施发生重大变动，应重新报批项目的环境影响评价文件。</w:t>
      </w:r>
    </w:p>
    <w:p>
      <w:pPr>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629" w:rightChars="0" w:firstLine="0" w:firstLineChars="0"/>
        <w:jc w:val="right"/>
        <w:textAlignment w:val="auto"/>
        <w:rPr>
          <w:rFonts w:hint="eastAsia" w:ascii="仿宋" w:hAnsi="仿宋" w:eastAsia="仿宋" w:cs="仿宋"/>
          <w:sz w:val="32"/>
          <w:szCs w:val="32"/>
          <w:lang w:val="en-US" w:eastAsia="zh-CN"/>
        </w:rPr>
      </w:pPr>
      <w:r>
        <w:rPr>
          <w:rFonts w:hint="eastAsia" w:ascii="仿宋" w:hAnsi="仿宋" w:eastAsia="仿宋" w:cs="仿宋"/>
          <w:lang w:val="en-US" w:eastAsia="zh-CN"/>
        </w:rPr>
        <w:t xml:space="preserve">                 </w:t>
      </w:r>
      <w:r>
        <w:rPr>
          <w:rFonts w:hint="eastAsia" w:ascii="仿宋" w:hAnsi="仿宋" w:eastAsia="仿宋" w:cs="仿宋"/>
          <w:sz w:val="32"/>
          <w:szCs w:val="32"/>
          <w:lang w:val="en-US" w:eastAsia="zh-CN"/>
        </w:rPr>
        <w:t>湛江市生态环境局霞山分局</w:t>
      </w:r>
    </w:p>
    <w:p>
      <w:pPr>
        <w:ind w:left="4469" w:leftChars="2128" w:firstLine="0" w:firstLineChars="0"/>
        <w:rPr>
          <w:rFonts w:ascii="仿宋_GB2312" w:eastAsia="仿宋_GB2312"/>
          <w:sz w:val="32"/>
          <w:szCs w:val="32"/>
        </w:rPr>
      </w:pPr>
      <w:r>
        <w:rPr>
          <w:rFonts w:hint="eastAsia" w:ascii="仿宋" w:hAnsi="仿宋" w:eastAsia="仿宋" w:cs="仿宋"/>
          <w:sz w:val="32"/>
          <w:szCs w:val="32"/>
          <w:lang w:val="en-US" w:eastAsia="zh-CN"/>
        </w:rPr>
        <w:t xml:space="preserve">       2020年3月12日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89ABA"/>
    <w:multiLevelType w:val="singleLevel"/>
    <w:tmpl w:val="F4C89ABA"/>
    <w:lvl w:ilvl="0" w:tentative="0">
      <w:start w:val="1"/>
      <w:numFmt w:val="chineseCounting"/>
      <w:suff w:val="nothing"/>
      <w:lvlText w:val="%1、"/>
      <w:lvlJc w:val="left"/>
      <w:rPr>
        <w:rFonts w:hint="eastAsia"/>
      </w:rPr>
    </w:lvl>
  </w:abstractNum>
  <w:abstractNum w:abstractNumId="1">
    <w:nsid w:val="617C7469"/>
    <w:multiLevelType w:val="singleLevel"/>
    <w:tmpl w:val="617C7469"/>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7D"/>
    <w:rsid w:val="0005552C"/>
    <w:rsid w:val="000F2D8C"/>
    <w:rsid w:val="000F3A7F"/>
    <w:rsid w:val="0014250C"/>
    <w:rsid w:val="001E0451"/>
    <w:rsid w:val="001E4738"/>
    <w:rsid w:val="0022269B"/>
    <w:rsid w:val="00222930"/>
    <w:rsid w:val="00227B17"/>
    <w:rsid w:val="0027790E"/>
    <w:rsid w:val="003B68A5"/>
    <w:rsid w:val="00401210"/>
    <w:rsid w:val="00422F2D"/>
    <w:rsid w:val="004C5BAF"/>
    <w:rsid w:val="00543BD7"/>
    <w:rsid w:val="005D36FB"/>
    <w:rsid w:val="00634111"/>
    <w:rsid w:val="006E225C"/>
    <w:rsid w:val="006F5D6F"/>
    <w:rsid w:val="00766A7D"/>
    <w:rsid w:val="00773639"/>
    <w:rsid w:val="00793BD3"/>
    <w:rsid w:val="007F2985"/>
    <w:rsid w:val="007F2AE6"/>
    <w:rsid w:val="007F434C"/>
    <w:rsid w:val="00823816"/>
    <w:rsid w:val="00891538"/>
    <w:rsid w:val="008E341F"/>
    <w:rsid w:val="00903D3B"/>
    <w:rsid w:val="0096014C"/>
    <w:rsid w:val="009671ED"/>
    <w:rsid w:val="009E5FFD"/>
    <w:rsid w:val="00A87A6E"/>
    <w:rsid w:val="00B67E72"/>
    <w:rsid w:val="00BB5ECF"/>
    <w:rsid w:val="00BE55BA"/>
    <w:rsid w:val="00C00CBA"/>
    <w:rsid w:val="00CA18AB"/>
    <w:rsid w:val="00CD7503"/>
    <w:rsid w:val="00D85488"/>
    <w:rsid w:val="00DB2F5A"/>
    <w:rsid w:val="00DF0E2E"/>
    <w:rsid w:val="00E64860"/>
    <w:rsid w:val="00EE15E9"/>
    <w:rsid w:val="00EE5BFF"/>
    <w:rsid w:val="00F85EA1"/>
    <w:rsid w:val="00FB008A"/>
    <w:rsid w:val="0B187C8B"/>
    <w:rsid w:val="0EE7640C"/>
    <w:rsid w:val="10C65629"/>
    <w:rsid w:val="13E8376E"/>
    <w:rsid w:val="1DF77A3F"/>
    <w:rsid w:val="1E9E08B2"/>
    <w:rsid w:val="25776CA5"/>
    <w:rsid w:val="3BEE10C4"/>
    <w:rsid w:val="3E847D70"/>
    <w:rsid w:val="45986459"/>
    <w:rsid w:val="50A1686B"/>
    <w:rsid w:val="513B5092"/>
    <w:rsid w:val="526B2160"/>
    <w:rsid w:val="581466B3"/>
    <w:rsid w:val="5CDE636C"/>
    <w:rsid w:val="68360B26"/>
    <w:rsid w:val="6AFB3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qFormat="1" w:unhideWhenUsed="0" w:uiPriority="0" w:semiHidden="0"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rPr>
  </w:style>
  <w:style w:type="paragraph" w:styleId="3">
    <w:name w:val="E-mail Signature"/>
    <w:basedOn w:val="1"/>
    <w:next w:val="4"/>
    <w:qFormat/>
    <w:uiPriority w:val="0"/>
    <w:pPr>
      <w:spacing w:line="460" w:lineRule="exact"/>
      <w:ind w:firstLine="200"/>
    </w:pPr>
    <w:rPr>
      <w:rFonts w:ascii="Times New Roman" w:hAnsi="Times New Roman" w:eastAsia="宋体" w:cs="Times New Roman"/>
    </w:rPr>
  </w:style>
  <w:style w:type="paragraph" w:customStyle="1" w:styleId="4">
    <w:name w:val="文章"/>
    <w:basedOn w:val="1"/>
    <w:next w:val="5"/>
    <w:qFormat/>
    <w:uiPriority w:val="0"/>
    <w:pPr>
      <w:widowControl/>
      <w:spacing w:line="240" w:lineRule="auto"/>
      <w:ind w:firstLine="480"/>
      <w:jc w:val="center"/>
    </w:pPr>
    <w:rPr>
      <w:rFonts w:ascii="Times New Roman" w:hAnsi="Times New Roman" w:eastAsia="宋体" w:cs="Times New Roman"/>
      <w:sz w:val="26"/>
    </w:rPr>
  </w:style>
  <w:style w:type="paragraph" w:styleId="5">
    <w:name w:val="List"/>
    <w:basedOn w:val="1"/>
    <w:next w:val="6"/>
    <w:unhideWhenUsed/>
    <w:qFormat/>
    <w:uiPriority w:val="0"/>
    <w:pPr>
      <w:jc w:val="center"/>
    </w:pPr>
    <w:rPr>
      <w:sz w:val="24"/>
      <w:szCs w:val="28"/>
    </w:rPr>
  </w:style>
  <w:style w:type="paragraph" w:styleId="6">
    <w:name w:val="List Bullet 2"/>
    <w:basedOn w:val="1"/>
    <w:next w:val="7"/>
    <w:semiHidden/>
    <w:unhideWhenUsed/>
    <w:qFormat/>
    <w:uiPriority w:val="99"/>
    <w:pPr>
      <w:numPr>
        <w:ilvl w:val="0"/>
        <w:numId w:val="1"/>
      </w:numPr>
    </w:pPr>
  </w:style>
  <w:style w:type="paragraph" w:customStyle="1" w:styleId="7">
    <w:name w:val="xl70"/>
    <w:basedOn w:val="1"/>
    <w:next w:val="8"/>
    <w:qFormat/>
    <w:uiPriority w:val="0"/>
    <w:pPr>
      <w:widowControl/>
      <w:spacing w:before="280" w:after="280" w:line="240" w:lineRule="auto"/>
      <w:ind w:firstLine="0"/>
    </w:pPr>
    <w:rPr>
      <w:rFonts w:ascii="宋体" w:hAnsi="Times New Roman" w:eastAsia="宋体" w:cs="Times New Roman"/>
    </w:rPr>
  </w:style>
  <w:style w:type="paragraph" w:customStyle="1" w:styleId="8">
    <w:name w:val="正文缩进1"/>
    <w:basedOn w:val="1"/>
    <w:next w:val="9"/>
    <w:qFormat/>
    <w:uiPriority w:val="0"/>
    <w:pPr>
      <w:ind w:firstLine="420" w:firstLineChars="200"/>
    </w:pPr>
    <w:rPr>
      <w:rFonts w:ascii="Times New Roman" w:hAnsi="Times New Roman" w:eastAsia="宋体" w:cs="Times New Roman"/>
      <w:sz w:val="24"/>
      <w:szCs w:val="24"/>
    </w:rPr>
  </w:style>
  <w:style w:type="paragraph" w:customStyle="1" w:styleId="9">
    <w:name w:val="td1"/>
    <w:basedOn w:val="1"/>
    <w:next w:val="1"/>
    <w:qFormat/>
    <w:uiPriority w:val="0"/>
    <w:pPr>
      <w:widowControl/>
      <w:spacing w:before="280" w:after="280" w:line="300" w:lineRule="atLeast"/>
      <w:ind w:firstLine="200"/>
    </w:pPr>
    <w:rPr>
      <w:rFonts w:ascii="Times New Roman" w:hAnsi="Times New Roman" w:eastAsia="宋体" w:cs="Times New Roman"/>
      <w:color w:val="000000"/>
      <w:sz w:val="18"/>
    </w:rPr>
  </w:style>
  <w:style w:type="paragraph" w:styleId="10">
    <w:name w:val="Normal Indent"/>
    <w:basedOn w:val="1"/>
    <w:qFormat/>
    <w:uiPriority w:val="0"/>
    <w:pPr>
      <w:keepNext w:val="0"/>
      <w:keepLines w:val="0"/>
      <w:widowControl/>
      <w:suppressLineNumbers w:val="0"/>
      <w:spacing w:before="0" w:beforeAutospacing="0" w:after="0" w:afterAutospacing="0"/>
      <w:ind w:left="0" w:right="0" w:firstLine="420"/>
      <w:jc w:val="left"/>
    </w:pPr>
    <w:rPr>
      <w:rFonts w:hint="default" w:ascii="Calibri" w:hAnsi="Calibri" w:eastAsia="宋体" w:cs="Times New Roman"/>
      <w:kern w:val="0"/>
      <w:sz w:val="21"/>
      <w:szCs w:val="22"/>
      <w:lang w:val="en-US" w:eastAsia="zh-CN" w:bidi="ar"/>
    </w:rPr>
  </w:style>
  <w:style w:type="paragraph" w:styleId="11">
    <w:name w:val="toc 2"/>
    <w:basedOn w:val="1"/>
    <w:next w:val="3"/>
    <w:qFormat/>
    <w:uiPriority w:val="0"/>
    <w:pPr>
      <w:ind w:left="210"/>
      <w:jc w:val="left"/>
    </w:pPr>
    <w:rPr>
      <w:rFonts w:ascii="Calibri" w:hAnsi="Calibri" w:eastAsia="宋体" w:cs="Calibri"/>
      <w:smallCaps/>
      <w:sz w:val="20"/>
    </w:rPr>
  </w:style>
  <w:style w:type="paragraph" w:customStyle="1" w:styleId="14">
    <w:name w:val="Default"/>
    <w:basedOn w:val="15"/>
    <w:next w:val="1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纯文本1"/>
    <w:basedOn w:val="1"/>
    <w:qFormat/>
    <w:uiPriority w:val="0"/>
    <w:pPr>
      <w:adjustRightInd w:val="0"/>
    </w:pPr>
    <w:rPr>
      <w:rFonts w:ascii="宋体" w:hAnsi="Courier New"/>
      <w:szCs w:val="20"/>
    </w:rPr>
  </w:style>
  <w:style w:type="paragraph" w:customStyle="1" w:styleId="16">
    <w:name w:val="样式35"/>
    <w:basedOn w:val="1"/>
    <w:next w:val="17"/>
    <w:qFormat/>
    <w:uiPriority w:val="0"/>
    <w:pPr>
      <w:spacing w:line="312" w:lineRule="auto"/>
      <w:ind w:firstLine="567"/>
    </w:pPr>
    <w:rPr>
      <w:rFonts w:ascii="宋体" w:hAnsi="Times New Roman" w:eastAsia="宋体" w:cs="Times New Roman"/>
      <w:sz w:val="28"/>
    </w:rPr>
  </w:style>
  <w:style w:type="paragraph" w:customStyle="1" w:styleId="17">
    <w:name w:val="font6"/>
    <w:basedOn w:val="1"/>
    <w:next w:val="11"/>
    <w:qFormat/>
    <w:uiPriority w:val="0"/>
    <w:pPr>
      <w:widowControl/>
      <w:spacing w:before="280" w:after="280" w:line="240" w:lineRule="auto"/>
      <w:ind w:firstLine="0"/>
    </w:pPr>
    <w:rPr>
      <w:rFonts w:ascii="Times New Roman" w:hAnsi="Times New Roman" w:eastAsia="宋体" w:cs="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Words>
  <Characters>503</Characters>
  <Lines>4</Lines>
  <Paragraphs>1</Paragraphs>
  <TotalTime>4</TotalTime>
  <ScaleCrop>false</ScaleCrop>
  <LinksUpToDate>false</LinksUpToDate>
  <CharactersWithSpaces>590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2019-07-04T02:06:00Z</dcterms:created>
  <dc:creator>332394983@qq.com</dc:creator>
  <cp:lastModifiedBy>sghnc</cp:lastModifiedBy>
  <cp:lastPrinted>2020-01-15T01:10:00Z</cp:lastPrinted>
  <dcterms:modified xsi:type="dcterms:W3CDTF">2020-03-16T08:28:38Z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