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600" w:lineRule="exact"/>
        <w:ind w:left="-424" w:leftChars="-202" w:firstLine="422" w:firstLineChars="96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关于广东华威八宝坊食品有限公司年产八宝粥罐头30万罐项目的批复</w:t>
      </w:r>
    </w:p>
    <w:p>
      <w:pPr>
        <w:tabs>
          <w:tab w:val="left" w:pos="3420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广东华威八宝坊食品有限公司：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你司报送的《广东华威八宝坊食品有限公司年产八宝粥罐头30万罐项目环境影响报告表》（以下简称报告表）及有关材料收悉，</w:t>
      </w:r>
      <w:r>
        <w:rPr>
          <w:rFonts w:hint="eastAsia" w:ascii="仿宋_GB2312" w:eastAsia="仿宋_GB2312"/>
          <w:sz w:val="32"/>
          <w:szCs w:val="32"/>
        </w:rPr>
        <w:t>经研究，批复如下：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一、广东华威八宝坊食品有限公司租赁位于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湛江市霞山区华港小区华港路</w:t>
      </w:r>
      <w:r>
        <w:rPr>
          <w:rFonts w:hint="eastAsia" w:ascii="仿宋_GB2312" w:hAnsi="仿宋_GB2312" w:eastAsia="仿宋_GB2312" w:cs="仿宋_GB2312"/>
          <w:sz w:val="32"/>
          <w:szCs w:val="32"/>
        </w:rPr>
        <w:t>1号B区的广东润炜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文具有限公司厂房进行生产建设，占地面积为4800m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，总建筑面积约4930m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；建设内容主要包括办公楼、车间、仓库、锅炉房、员工宿舍（仅租用一层午休）等及其公共、环保配套设施；建设一条八宝粥生产线，建成后年产八宝粥罐头30万罐，项目外购原料经配料、灌装后进行高温高压杀菌、清洗、冷却后即为产品；设置1台4t/h的生物质锅炉，不设备用发电机；项目用水量为1979t/a，用电量为1万kW·h/a。</w:t>
      </w:r>
      <w:r>
        <w:rPr>
          <w:rFonts w:eastAsia="仿宋_GB2312"/>
          <w:sz w:val="32"/>
          <w:szCs w:val="32"/>
        </w:rPr>
        <w:t>该项目总投资约169万元，其中环保投资约32万元，占总投资比例的18.9%；项目劳动定员28人，年工作100天，实行8h单班制生产。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的评价结论及湛江市环境科学研究所《关于广东华威八宝坊食品有限公司年产八宝粥罐头30万罐项目环境影响报告表的技术评估意见》（湛环技评表〔2019〕25 号），在全面落实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_GB2312" w:eastAsia="仿宋_GB2312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的审查，你公司应按照报告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内容组织实施。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三、项目建设和运营中还应重点做好以下工作：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）该项目须加强环保管理和“三废”防治设施维护，确保</w:t>
      </w:r>
      <w:r>
        <w:rPr>
          <w:rFonts w:hint="eastAsia" w:ascii="仿宋_GB2312" w:eastAsia="仿宋_GB2312"/>
          <w:sz w:val="32"/>
          <w:szCs w:val="32"/>
          <w:lang w:eastAsia="zh-CN"/>
        </w:rPr>
        <w:t>各项污染物得到有效防治，确保</w:t>
      </w:r>
      <w:r>
        <w:rPr>
          <w:rFonts w:hint="eastAsia" w:ascii="仿宋_GB2312" w:eastAsia="仿宋_GB2312"/>
          <w:sz w:val="32"/>
          <w:szCs w:val="32"/>
        </w:rPr>
        <w:t>固体废物得到有效处置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锅炉废气、粉尘和废水得到有效防治和持续稳定达标排放。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（三）建设单位须加强各项固体废物的管理，运行过程中产生的固体废物须依法妥善处置，建立管理台账，存档备查。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（四）该项目在实施中，须严格执行环保设施“三同时”制度，落实报告表中所提出的各项废气、废水、噪声、固废等污染防治措施和建议。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（五）项目须使用含硫量&lt;0.01%的生物质颗粒作为燃料。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（六）有关总量控制指标按照生态环境部门核定的执行。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建设必须严格执行配套的环境保护设施与主体工程同时设计、同时施工、同时投产使用的环境保护“三同时”制度。项目竣工后，你公司须按规定的标准和程序，对配套建设的环境保护设施进行验收，验收合格后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湛江市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局霞山分局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甘肃宜洁环境工程科技有限公司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（由建设单位送达）。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74" w:bottom="1440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spacing w:line="360" w:lineRule="auto"/>
      <w:ind w:firstLine="1205" w:firstLineChars="200"/>
      <w:jc w:val="left"/>
    </w:pPr>
    <w:rPr>
      <w:rFonts w:eastAsia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样式 方正小标宋简体 小二 居中 行距: 固定值 22 磅"/>
    <w:basedOn w:val="1"/>
    <w:uiPriority w:val="0"/>
    <w:pPr>
      <w:jc w:val="center"/>
    </w:pPr>
    <w:rPr>
      <w:rFonts w:ascii="方正小标宋简体" w:eastAsia="方正小标宋简体" w:cs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2019-11-21T03:19:21Z</dcterms:created>
  <dc:creator>Administrator</dc:creator>
  <cp:lastModifiedBy>sghnc</cp:lastModifiedBy>
  <dcterms:modified xsi:type="dcterms:W3CDTF">2019-11-22T08:16:54Z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