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60DEBF">
      <w:pPr>
        <w:spacing w:line="600" w:lineRule="exact"/>
        <w:jc w:val="center"/>
        <w:rPr>
          <w:rFonts w:ascii="方正小标宋简体" w:eastAsia="方正小标宋简体"/>
          <w:color w:val="auto"/>
          <w:sz w:val="44"/>
          <w:szCs w:val="44"/>
          <w:highlight w:val="none"/>
        </w:rPr>
      </w:pPr>
    </w:p>
    <w:p w14:paraId="0EAC7C0E">
      <w:pPr>
        <w:spacing w:line="600" w:lineRule="exact"/>
        <w:jc w:val="center"/>
        <w:rPr>
          <w:rFonts w:ascii="方正小标宋简体" w:eastAsia="方正小标宋简体"/>
          <w:color w:val="auto"/>
          <w:sz w:val="44"/>
          <w:szCs w:val="44"/>
          <w:highlight w:val="none"/>
        </w:rPr>
      </w:pPr>
    </w:p>
    <w:p w14:paraId="2D7E53DA">
      <w:pPr>
        <w:spacing w:line="600" w:lineRule="exact"/>
        <w:jc w:val="center"/>
        <w:rPr>
          <w:rFonts w:ascii="方正小标宋简体" w:eastAsia="方正小标宋简体"/>
          <w:color w:val="auto"/>
          <w:sz w:val="44"/>
          <w:szCs w:val="44"/>
          <w:highlight w:val="none"/>
        </w:rPr>
      </w:pPr>
    </w:p>
    <w:p w14:paraId="6133414A">
      <w:pPr>
        <w:spacing w:line="360" w:lineRule="auto"/>
        <w:jc w:val="center"/>
        <w:rPr>
          <w:rFonts w:ascii="方正小标宋简体" w:eastAsia="方正小标宋简体"/>
          <w:color w:val="auto"/>
          <w:sz w:val="44"/>
          <w:szCs w:val="44"/>
          <w:highlight w:val="none"/>
        </w:rPr>
      </w:pPr>
      <w:r>
        <w:rPr>
          <w:rFonts w:hint="eastAsia" w:ascii="方正小标宋简体" w:eastAsia="方正小标宋简体"/>
          <w:color w:val="auto"/>
          <w:sz w:val="44"/>
          <w:szCs w:val="44"/>
          <w:highlight w:val="none"/>
        </w:rPr>
        <w:t>202</w:t>
      </w:r>
      <w:r>
        <w:rPr>
          <w:rFonts w:hint="eastAsia" w:ascii="方正小标宋简体" w:eastAsia="方正小标宋简体"/>
          <w:color w:val="auto"/>
          <w:sz w:val="44"/>
          <w:szCs w:val="44"/>
          <w:highlight w:val="none"/>
          <w:lang w:val="en-US" w:eastAsia="zh-CN"/>
        </w:rPr>
        <w:t>3</w:t>
      </w:r>
      <w:r>
        <w:rPr>
          <w:rFonts w:hint="eastAsia" w:ascii="方正小标宋简体" w:eastAsia="方正小标宋简体"/>
          <w:color w:val="auto"/>
          <w:sz w:val="44"/>
          <w:szCs w:val="44"/>
          <w:highlight w:val="none"/>
        </w:rPr>
        <w:t>年部门整体支出绩效评价报告</w:t>
      </w:r>
    </w:p>
    <w:p w14:paraId="25EC4D0C">
      <w:pPr>
        <w:spacing w:line="360" w:lineRule="auto"/>
        <w:rPr>
          <w:color w:val="auto"/>
          <w:highlight w:val="none"/>
        </w:rPr>
      </w:pPr>
    </w:p>
    <w:p w14:paraId="53336C64">
      <w:pPr>
        <w:spacing w:line="360" w:lineRule="auto"/>
        <w:rPr>
          <w:color w:val="auto"/>
          <w:highlight w:val="none"/>
        </w:rPr>
      </w:pPr>
    </w:p>
    <w:p w14:paraId="6EC2F9AC">
      <w:pPr>
        <w:spacing w:line="360" w:lineRule="auto"/>
        <w:rPr>
          <w:color w:val="auto"/>
          <w:highlight w:val="none"/>
        </w:rPr>
      </w:pPr>
    </w:p>
    <w:p w14:paraId="13A511AB">
      <w:pPr>
        <w:spacing w:line="360" w:lineRule="auto"/>
        <w:rPr>
          <w:color w:val="auto"/>
          <w:highlight w:val="none"/>
        </w:rPr>
      </w:pPr>
    </w:p>
    <w:p w14:paraId="745D543E">
      <w:pPr>
        <w:spacing w:line="360" w:lineRule="auto"/>
        <w:rPr>
          <w:color w:val="auto"/>
          <w:highlight w:val="none"/>
        </w:rPr>
      </w:pPr>
    </w:p>
    <w:p w14:paraId="3A601F3C">
      <w:pPr>
        <w:spacing w:line="360" w:lineRule="auto"/>
        <w:rPr>
          <w:color w:val="auto"/>
          <w:highlight w:val="none"/>
        </w:rPr>
      </w:pPr>
    </w:p>
    <w:p w14:paraId="0FECC701">
      <w:pPr>
        <w:spacing w:line="360" w:lineRule="auto"/>
        <w:rPr>
          <w:color w:val="auto"/>
          <w:highlight w:val="none"/>
        </w:rPr>
      </w:pPr>
    </w:p>
    <w:p w14:paraId="00B46818">
      <w:pPr>
        <w:spacing w:line="360" w:lineRule="auto"/>
        <w:rPr>
          <w:color w:val="auto"/>
          <w:highlight w:val="none"/>
        </w:rPr>
      </w:pPr>
    </w:p>
    <w:p w14:paraId="4B034749">
      <w:pPr>
        <w:spacing w:line="360" w:lineRule="auto"/>
        <w:rPr>
          <w:color w:val="auto"/>
          <w:highlight w:val="none"/>
        </w:rPr>
      </w:pPr>
    </w:p>
    <w:p w14:paraId="553A7453">
      <w:pPr>
        <w:spacing w:line="360" w:lineRule="auto"/>
        <w:rPr>
          <w:color w:val="auto"/>
          <w:highlight w:val="none"/>
        </w:rPr>
      </w:pPr>
    </w:p>
    <w:p w14:paraId="29B1AADC">
      <w:pPr>
        <w:spacing w:line="360" w:lineRule="auto"/>
        <w:rPr>
          <w:color w:val="auto"/>
          <w:highlight w:val="none"/>
        </w:rPr>
      </w:pPr>
    </w:p>
    <w:p w14:paraId="50EE9C3E">
      <w:pPr>
        <w:spacing w:line="360" w:lineRule="auto"/>
        <w:rPr>
          <w:rFonts w:ascii="仿宋_GB2312" w:hAnsi="华文仿宋" w:eastAsia="仿宋_GB2312" w:cs="仿宋_GB2312"/>
          <w:color w:val="auto"/>
          <w:sz w:val="32"/>
          <w:szCs w:val="32"/>
          <w:highlight w:val="none"/>
        </w:rPr>
      </w:pPr>
      <w:r>
        <w:rPr>
          <w:rFonts w:hint="eastAsia" w:ascii="仿宋_GB2312" w:hAnsi="宋体" w:eastAsia="仿宋_GB2312" w:cs="仿宋_GB2312"/>
          <w:color w:val="auto"/>
          <w:kern w:val="0"/>
          <w:sz w:val="31"/>
          <w:szCs w:val="31"/>
          <w:highlight w:val="none"/>
          <w:lang w:bidi="ar"/>
        </w:rPr>
        <w:t>项目名称：</w:t>
      </w:r>
      <w:r>
        <w:rPr>
          <w:rFonts w:hint="eastAsia" w:ascii="仿宋_GB2312" w:hAnsi="华文仿宋" w:eastAsia="仿宋_GB2312" w:cs="仿宋_GB2312"/>
          <w:color w:val="auto"/>
          <w:sz w:val="32"/>
          <w:szCs w:val="32"/>
          <w:highlight w:val="none"/>
        </w:rPr>
        <w:t>部门整体支出绩效评价</w:t>
      </w:r>
    </w:p>
    <w:p w14:paraId="37A7DB4F">
      <w:pPr>
        <w:spacing w:line="360" w:lineRule="auto"/>
        <w:rPr>
          <w:rFonts w:hint="eastAsia" w:ascii="仿宋_GB2312" w:hAnsi="华文仿宋" w:eastAsia="仿宋_GB2312" w:cs="仿宋_GB2312"/>
          <w:color w:val="auto"/>
          <w:sz w:val="32"/>
          <w:szCs w:val="32"/>
          <w:highlight w:val="none"/>
          <w:lang w:eastAsia="zh-CN"/>
        </w:rPr>
      </w:pPr>
      <w:r>
        <w:rPr>
          <w:rFonts w:hint="eastAsia" w:ascii="仿宋_GB2312" w:hAnsi="宋体" w:eastAsia="仿宋_GB2312" w:cs="仿宋_GB2312"/>
          <w:color w:val="auto"/>
          <w:kern w:val="0"/>
          <w:sz w:val="31"/>
          <w:szCs w:val="31"/>
          <w:highlight w:val="none"/>
          <w:lang w:bidi="ar"/>
        </w:rPr>
        <w:t>项目单位：</w:t>
      </w:r>
      <w:r>
        <w:rPr>
          <w:rFonts w:hint="eastAsia" w:ascii="仿宋_GB2312" w:hAnsi="华文仿宋" w:eastAsia="仿宋_GB2312" w:cs="仿宋_GB2312"/>
          <w:color w:val="auto"/>
          <w:sz w:val="32"/>
          <w:szCs w:val="32"/>
          <w:highlight w:val="none"/>
          <w:lang w:eastAsia="zh-CN"/>
        </w:rPr>
        <w:t>湛江市霞山区海头街道办事处</w:t>
      </w:r>
    </w:p>
    <w:p w14:paraId="4DD94ECC">
      <w:pPr>
        <w:spacing w:line="360" w:lineRule="auto"/>
        <w:rPr>
          <w:rFonts w:ascii="仿宋_GB2312" w:hAnsi="华文仿宋" w:eastAsia="仿宋_GB2312" w:cs="仿宋_GB2312"/>
          <w:color w:val="auto"/>
          <w:sz w:val="32"/>
          <w:szCs w:val="32"/>
          <w:highlight w:val="none"/>
        </w:rPr>
      </w:pPr>
      <w:r>
        <w:rPr>
          <w:rFonts w:hint="eastAsia" w:ascii="仿宋_GB2312" w:hAnsi="宋体" w:eastAsia="仿宋_GB2312" w:cs="仿宋_GB2312"/>
          <w:color w:val="auto"/>
          <w:kern w:val="0"/>
          <w:sz w:val="31"/>
          <w:szCs w:val="31"/>
          <w:highlight w:val="none"/>
          <w:lang w:bidi="ar"/>
        </w:rPr>
        <w:t>委托单位：</w:t>
      </w:r>
      <w:r>
        <w:rPr>
          <w:rFonts w:hint="eastAsia" w:ascii="仿宋_GB2312" w:hAnsi="华文仿宋" w:eastAsia="仿宋_GB2312" w:cs="仿宋_GB2312"/>
          <w:color w:val="auto"/>
          <w:sz w:val="32"/>
          <w:szCs w:val="32"/>
          <w:highlight w:val="none"/>
        </w:rPr>
        <w:t>湛江市霞山区财政局</w:t>
      </w:r>
    </w:p>
    <w:p w14:paraId="5E0A52F7">
      <w:pPr>
        <w:spacing w:line="360" w:lineRule="auto"/>
        <w:rPr>
          <w:rFonts w:ascii="仿宋_GB2312" w:hAnsi="宋体" w:eastAsia="仿宋_GB2312" w:cs="仿宋_GB2312"/>
          <w:color w:val="auto"/>
          <w:sz w:val="32"/>
          <w:szCs w:val="32"/>
          <w:highlight w:val="none"/>
        </w:rPr>
      </w:pPr>
      <w:r>
        <w:rPr>
          <w:rFonts w:hint="eastAsia" w:ascii="仿宋_GB2312" w:hAnsi="宋体" w:eastAsia="仿宋_GB2312" w:cs="仿宋_GB2312"/>
          <w:color w:val="auto"/>
          <w:kern w:val="0"/>
          <w:sz w:val="31"/>
          <w:szCs w:val="31"/>
          <w:highlight w:val="none"/>
          <w:lang w:bidi="ar"/>
        </w:rPr>
        <w:t>评价机构：</w:t>
      </w:r>
      <w:r>
        <w:rPr>
          <w:rFonts w:ascii="仿宋_GB2312" w:hAnsi="宋体" w:eastAsia="仿宋_GB2312" w:cs="仿宋_GB2312"/>
          <w:color w:val="auto"/>
          <w:kern w:val="0"/>
          <w:sz w:val="31"/>
          <w:szCs w:val="31"/>
          <w:highlight w:val="none"/>
          <w:lang w:bidi="ar"/>
        </w:rPr>
        <w:t>湛江</w:t>
      </w:r>
      <w:r>
        <w:rPr>
          <w:rFonts w:hint="eastAsia" w:ascii="仿宋_GB2312" w:hAnsi="宋体" w:eastAsia="仿宋_GB2312" w:cs="仿宋_GB2312"/>
          <w:color w:val="auto"/>
          <w:kern w:val="0"/>
          <w:sz w:val="31"/>
          <w:szCs w:val="31"/>
          <w:highlight w:val="none"/>
          <w:lang w:bidi="ar"/>
        </w:rPr>
        <w:t>亿朗会计师事务所（普通合伙）</w:t>
      </w:r>
    </w:p>
    <w:p w14:paraId="4BDB1B22">
      <w:pPr>
        <w:spacing w:line="360" w:lineRule="auto"/>
        <w:rPr>
          <w:rFonts w:ascii="方正小标宋简体" w:eastAsia="方正小标宋简体"/>
          <w:color w:val="auto"/>
          <w:sz w:val="44"/>
          <w:szCs w:val="44"/>
          <w:highlight w:val="none"/>
        </w:rPr>
      </w:pPr>
      <w:r>
        <w:rPr>
          <w:rFonts w:hint="eastAsia" w:ascii="仿宋_GB2312" w:hAnsi="宋体" w:eastAsia="仿宋_GB2312" w:cs="仿宋_GB2312"/>
          <w:color w:val="auto"/>
          <w:kern w:val="0"/>
          <w:sz w:val="31"/>
          <w:szCs w:val="31"/>
          <w:highlight w:val="none"/>
          <w:lang w:bidi="ar"/>
        </w:rPr>
        <w:t>评价时间：</w:t>
      </w:r>
      <w:r>
        <w:rPr>
          <w:rFonts w:hint="eastAsia" w:ascii="仿宋_GB2312" w:hAnsi="华文仿宋" w:eastAsia="仿宋_GB2312" w:cs="仿宋_GB2312"/>
          <w:color w:val="auto"/>
          <w:sz w:val="32"/>
          <w:szCs w:val="32"/>
          <w:highlight w:val="none"/>
        </w:rPr>
        <w:t>202</w:t>
      </w:r>
      <w:r>
        <w:rPr>
          <w:rFonts w:hint="eastAsia" w:ascii="仿宋_GB2312" w:hAnsi="华文仿宋" w:eastAsia="仿宋_GB2312" w:cs="仿宋_GB2312"/>
          <w:color w:val="auto"/>
          <w:sz w:val="32"/>
          <w:szCs w:val="32"/>
          <w:highlight w:val="none"/>
          <w:lang w:val="en-US" w:eastAsia="zh-CN"/>
        </w:rPr>
        <w:t>4</w:t>
      </w:r>
      <w:r>
        <w:rPr>
          <w:rFonts w:hint="eastAsia" w:ascii="仿宋_GB2312" w:hAnsi="华文仿宋" w:eastAsia="仿宋_GB2312" w:cs="仿宋_GB2312"/>
          <w:color w:val="auto"/>
          <w:sz w:val="32"/>
          <w:szCs w:val="32"/>
          <w:highlight w:val="none"/>
        </w:rPr>
        <w:t>年</w:t>
      </w:r>
      <w:r>
        <w:rPr>
          <w:rFonts w:hint="eastAsia" w:ascii="仿宋_GB2312" w:hAnsi="华文仿宋" w:eastAsia="仿宋_GB2312" w:cs="仿宋_GB2312"/>
          <w:color w:val="auto"/>
          <w:sz w:val="32"/>
          <w:szCs w:val="32"/>
          <w:highlight w:val="none"/>
          <w:lang w:val="en-US" w:eastAsia="zh-CN"/>
        </w:rPr>
        <w:t>12</w:t>
      </w:r>
      <w:r>
        <w:rPr>
          <w:rFonts w:hint="eastAsia" w:ascii="仿宋_GB2312" w:hAnsi="华文仿宋" w:eastAsia="仿宋_GB2312" w:cs="仿宋_GB2312"/>
          <w:color w:val="auto"/>
          <w:sz w:val="32"/>
          <w:szCs w:val="32"/>
          <w:highlight w:val="none"/>
        </w:rPr>
        <w:t>月</w:t>
      </w:r>
      <w:r>
        <w:rPr>
          <w:rFonts w:hint="eastAsia" w:ascii="仿宋_GB2312" w:hAnsi="华文仿宋" w:eastAsia="仿宋_GB2312" w:cs="仿宋_GB2312"/>
          <w:color w:val="auto"/>
          <w:sz w:val="32"/>
          <w:szCs w:val="32"/>
          <w:highlight w:val="none"/>
          <w:lang w:val="en-US" w:eastAsia="zh-CN"/>
        </w:rPr>
        <w:t>12</w:t>
      </w:r>
      <w:r>
        <w:rPr>
          <w:rFonts w:hint="eastAsia" w:ascii="仿宋_GB2312" w:hAnsi="华文仿宋" w:eastAsia="仿宋_GB2312" w:cs="仿宋_GB2312"/>
          <w:color w:val="auto"/>
          <w:sz w:val="32"/>
          <w:szCs w:val="32"/>
          <w:highlight w:val="none"/>
        </w:rPr>
        <w:t>日</w:t>
      </w:r>
    </w:p>
    <w:p w14:paraId="168B5B30">
      <w:pPr>
        <w:spacing w:line="360" w:lineRule="auto"/>
        <w:rPr>
          <w:rFonts w:ascii="宋体" w:hAnsi="宋体" w:eastAsia="宋体" w:cs="宋体"/>
          <w:color w:val="auto"/>
          <w:sz w:val="28"/>
          <w:szCs w:val="28"/>
          <w:highlight w:val="none"/>
        </w:rPr>
      </w:pPr>
    </w:p>
    <w:p w14:paraId="288B49D4">
      <w:pPr>
        <w:pStyle w:val="23"/>
        <w:numPr>
          <w:ilvl w:val="0"/>
          <w:numId w:val="1"/>
        </w:numPr>
        <w:spacing w:after="0" w:line="360" w:lineRule="auto"/>
        <w:ind w:firstLine="740"/>
        <w:jc w:val="both"/>
        <w:outlineLvl w:val="0"/>
        <w:rPr>
          <w:rFonts w:ascii="黑体" w:hAnsi="黑体" w:eastAsia="黑体" w:cs="黑体"/>
          <w:color w:val="auto"/>
          <w:kern w:val="0"/>
          <w:sz w:val="32"/>
          <w:szCs w:val="32"/>
          <w:highlight w:val="none"/>
          <w:lang w:val="en-US" w:eastAsia="zh-CN" w:bidi="ar"/>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sdt>
      <w:sdtPr>
        <w:rPr>
          <w:rFonts w:hint="eastAsia" w:ascii="Times New Roman" w:hAnsi="Times New Roman" w:eastAsia="方正小标宋简体" w:cs="方正小标宋简体"/>
          <w:b w:val="0"/>
          <w:bCs w:val="0"/>
          <w:color w:val="auto"/>
          <w:sz w:val="21"/>
          <w:szCs w:val="44"/>
          <w:highlight w:val="none"/>
        </w:rPr>
        <w:id w:val="147481682"/>
        <w:docPartObj>
          <w:docPartGallery w:val="Table of Contents"/>
          <w:docPartUnique/>
        </w:docPartObj>
      </w:sdtPr>
      <w:sdtEndPr>
        <w:rPr>
          <w:rFonts w:hint="eastAsia" w:ascii="宋体" w:hAnsi="宋体" w:eastAsia="宋体" w:cstheme="minorBidi"/>
          <w:b/>
          <w:bCs w:val="0"/>
          <w:color w:val="auto"/>
          <w:sz w:val="21"/>
          <w:szCs w:val="24"/>
          <w:highlight w:val="none"/>
        </w:rPr>
      </w:sdtEndPr>
      <w:sdtContent>
        <w:p w14:paraId="570CCD81">
          <w:pPr>
            <w:pStyle w:val="16"/>
            <w:outlineLvl w:val="9"/>
            <w:rPr>
              <w:rFonts w:ascii="Times New Roman" w:hAnsi="Times New Roman" w:eastAsia="方正小标宋简体" w:cs="方正小标宋简体"/>
              <w:b w:val="0"/>
              <w:bCs w:val="0"/>
              <w:color w:val="auto"/>
              <w:szCs w:val="44"/>
              <w:highlight w:val="none"/>
              <w:lang w:val="zh-CN"/>
            </w:rPr>
          </w:pPr>
          <w:bookmarkStart w:id="0" w:name="_Toc10217"/>
          <w:bookmarkStart w:id="1" w:name="_Toc8486"/>
          <w:bookmarkStart w:id="2" w:name="_Toc24079"/>
          <w:r>
            <w:rPr>
              <w:rFonts w:hint="eastAsia" w:ascii="Times New Roman" w:hAnsi="Times New Roman" w:eastAsia="方正小标宋简体" w:cs="方正小标宋简体"/>
              <w:b w:val="0"/>
              <w:bCs w:val="0"/>
              <w:color w:val="auto"/>
              <w:szCs w:val="44"/>
              <w:highlight w:val="none"/>
              <w:lang w:val="zh-CN"/>
            </w:rPr>
            <w:t>目 录</w:t>
          </w:r>
          <w:bookmarkEnd w:id="0"/>
          <w:bookmarkEnd w:id="1"/>
          <w:bookmarkEnd w:id="2"/>
        </w:p>
        <w:p w14:paraId="15FF360C">
          <w:pPr>
            <w:pStyle w:val="16"/>
            <w:outlineLvl w:val="9"/>
            <w:rPr>
              <w:color w:val="auto"/>
              <w:highlight w:val="none"/>
            </w:rPr>
          </w:pPr>
          <w:bookmarkStart w:id="3" w:name="_Toc23029"/>
          <w:bookmarkStart w:id="4" w:name="_Toc30684"/>
          <w:bookmarkStart w:id="5" w:name="_Toc26629"/>
          <w:r>
            <w:rPr>
              <w:rFonts w:hint="eastAsia" w:ascii="Times New Roman" w:hAnsi="Times New Roman" w:eastAsia="方正小标宋简体" w:cs="方正小标宋简体"/>
              <w:b w:val="0"/>
              <w:bCs w:val="0"/>
              <w:color w:val="auto"/>
              <w:szCs w:val="44"/>
              <w:highlight w:val="none"/>
              <w:lang w:val="zh-CN"/>
            </w:rPr>
            <w:t>第一部分：绩效报告</w:t>
          </w:r>
          <w:bookmarkEnd w:id="3"/>
          <w:bookmarkEnd w:id="4"/>
          <w:bookmarkEnd w:id="5"/>
        </w:p>
        <w:p w14:paraId="5F660781">
          <w:pPr>
            <w:pStyle w:val="15"/>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TOC \o "1-2" \h \u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_Toc1375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kern w:val="0"/>
              <w:sz w:val="32"/>
              <w:szCs w:val="32"/>
              <w:highlight w:val="none"/>
              <w:lang w:val="en-US" w:eastAsia="zh-CN" w:bidi="ar"/>
            </w:rPr>
            <w:t>一、部门整体概况</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_Toc1375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2</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2D7FCF7E">
          <w:pPr>
            <w:pStyle w:val="15"/>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_Toc29586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kern w:val="0"/>
              <w:sz w:val="32"/>
              <w:szCs w:val="32"/>
              <w:highlight w:val="none"/>
              <w:lang w:bidi="ar"/>
            </w:rPr>
            <w:t>二、绩效评价原则与方法</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_Toc29586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4</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3093002B">
          <w:pPr>
            <w:pStyle w:val="15"/>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_Toc28058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kern w:val="0"/>
              <w:sz w:val="32"/>
              <w:szCs w:val="32"/>
              <w:highlight w:val="none"/>
              <w:lang w:bidi="ar"/>
            </w:rPr>
            <w:t>三、评价结论与绩效分析</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_Toc28058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4</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65225F2A">
          <w:pPr>
            <w:pStyle w:val="15"/>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_Toc31961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kern w:val="0"/>
              <w:sz w:val="32"/>
              <w:szCs w:val="32"/>
              <w:highlight w:val="none"/>
              <w:lang w:bidi="ar"/>
            </w:rPr>
            <w:t>四、主要绩效</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_Toc31961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6</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309D732F">
          <w:pPr>
            <w:pStyle w:val="15"/>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_Toc5672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kern w:val="0"/>
              <w:sz w:val="32"/>
              <w:szCs w:val="32"/>
              <w:highlight w:val="none"/>
              <w:lang w:bidi="ar"/>
            </w:rPr>
            <w:t>五、存在问题</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_Toc5672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6</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5880B2F7">
          <w:pPr>
            <w:pStyle w:val="15"/>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rFonts w:hint="eastAsia" w:ascii="仿宋" w:hAnsi="仿宋" w:eastAsia="仿宋" w:cs="仿宋"/>
              <w:color w:val="auto"/>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_Toc734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kern w:val="0"/>
              <w:sz w:val="32"/>
              <w:szCs w:val="32"/>
              <w:highlight w:val="none"/>
              <w:lang w:bidi="ar"/>
            </w:rPr>
            <w:t>六、有关建议</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_Toc734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11</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223058C5">
          <w:pPr>
            <w:pStyle w:val="15"/>
            <w:tabs>
              <w:tab w:val="right" w:leader="dot" w:pos="8306"/>
            </w:tabs>
            <w:rPr>
              <w:color w:val="auto"/>
              <w:highlight w:val="none"/>
            </w:rPr>
          </w:pPr>
        </w:p>
        <w:p w14:paraId="75D34BBF">
          <w:pPr>
            <w:pStyle w:val="15"/>
            <w:tabs>
              <w:tab w:val="right" w:leader="dot" w:pos="8306"/>
            </w:tabs>
            <w:ind w:left="0" w:leftChars="0" w:firstLine="0" w:firstLineChars="0"/>
            <w:jc w:val="center"/>
            <w:rPr>
              <w:color w:val="auto"/>
              <w:highlight w:val="none"/>
            </w:rPr>
          </w:pPr>
          <w:r>
            <w:rPr>
              <w:rFonts w:hint="eastAsia" w:ascii="Times New Roman" w:hAnsi="Times New Roman" w:eastAsia="方正小标宋简体" w:cs="方正小标宋简体"/>
              <w:b w:val="0"/>
              <w:bCs w:val="0"/>
              <w:color w:val="auto"/>
              <w:kern w:val="2"/>
              <w:sz w:val="44"/>
              <w:szCs w:val="44"/>
              <w:highlight w:val="none"/>
              <w:lang w:val="zh-CN" w:eastAsia="zh-CN" w:bidi="ar-SA"/>
            </w:rPr>
            <w:t>第二部分：</w:t>
          </w:r>
          <w:r>
            <w:rPr>
              <w:rFonts w:hint="eastAsia" w:ascii="Times New Roman" w:hAnsi="Times New Roman" w:eastAsia="方正小标宋简体" w:cs="方正小标宋简体"/>
              <w:b w:val="0"/>
              <w:bCs w:val="0"/>
              <w:color w:val="auto"/>
              <w:kern w:val="2"/>
              <w:sz w:val="44"/>
              <w:szCs w:val="44"/>
              <w:highlight w:val="none"/>
              <w:lang w:val="zh-CN" w:eastAsia="zh-CN" w:bidi="ar-SA"/>
            </w:rPr>
            <w:fldChar w:fldCharType="begin"/>
          </w:r>
          <w:r>
            <w:rPr>
              <w:rFonts w:hint="eastAsia" w:ascii="Times New Roman" w:hAnsi="Times New Roman" w:eastAsia="方正小标宋简体" w:cs="方正小标宋简体"/>
              <w:b w:val="0"/>
              <w:bCs w:val="0"/>
              <w:color w:val="auto"/>
              <w:kern w:val="2"/>
              <w:sz w:val="44"/>
              <w:szCs w:val="44"/>
              <w:highlight w:val="none"/>
              <w:lang w:val="zh-CN" w:eastAsia="zh-CN" w:bidi="ar-SA"/>
            </w:rPr>
            <w:instrText xml:space="preserve"> HYPERLINK \l _Toc9402 </w:instrText>
          </w:r>
          <w:r>
            <w:rPr>
              <w:rFonts w:hint="eastAsia" w:ascii="Times New Roman" w:hAnsi="Times New Roman" w:eastAsia="方正小标宋简体" w:cs="方正小标宋简体"/>
              <w:b w:val="0"/>
              <w:bCs w:val="0"/>
              <w:color w:val="auto"/>
              <w:kern w:val="2"/>
              <w:sz w:val="44"/>
              <w:szCs w:val="44"/>
              <w:highlight w:val="none"/>
              <w:lang w:val="zh-CN" w:eastAsia="zh-CN" w:bidi="ar-SA"/>
            </w:rPr>
            <w:fldChar w:fldCharType="separate"/>
          </w:r>
          <w:r>
            <w:rPr>
              <w:rFonts w:hint="eastAsia" w:ascii="Times New Roman" w:hAnsi="Times New Roman" w:eastAsia="方正小标宋简体" w:cs="方正小标宋简体"/>
              <w:b w:val="0"/>
              <w:bCs w:val="0"/>
              <w:color w:val="auto"/>
              <w:kern w:val="2"/>
              <w:sz w:val="44"/>
              <w:szCs w:val="44"/>
              <w:highlight w:val="none"/>
              <w:lang w:val="zh-CN" w:eastAsia="zh-CN" w:bidi="ar-SA"/>
            </w:rPr>
            <w:t>分析报告</w:t>
          </w:r>
          <w:r>
            <w:rPr>
              <w:rFonts w:hint="eastAsia" w:ascii="Times New Roman" w:hAnsi="Times New Roman" w:eastAsia="方正小标宋简体" w:cs="方正小标宋简体"/>
              <w:b w:val="0"/>
              <w:bCs w:val="0"/>
              <w:color w:val="auto"/>
              <w:kern w:val="2"/>
              <w:sz w:val="44"/>
              <w:szCs w:val="44"/>
              <w:highlight w:val="none"/>
              <w:lang w:val="zh-CN" w:eastAsia="zh-CN" w:bidi="ar-SA"/>
            </w:rPr>
            <w:fldChar w:fldCharType="end"/>
          </w:r>
        </w:p>
        <w:p w14:paraId="1C2D24BC">
          <w:pPr>
            <w:pStyle w:val="15"/>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left="0" w:leftChars="0" w:firstLine="320" w:firstLineChars="1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一、部门年度总体工作和重点工作任务</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lang w:val="en-US" w:eastAsia="zh-CN"/>
            </w:rPr>
            <w:t>7</w:t>
          </w:r>
        </w:p>
        <w:p w14:paraId="70222123">
          <w:pPr>
            <w:pStyle w:val="15"/>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left="0" w:leftChars="0" w:firstLine="320" w:firstLineChars="1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二</w:t>
          </w:r>
          <w:r>
            <w:rPr>
              <w:rFonts w:hint="eastAsia" w:ascii="仿宋" w:hAnsi="仿宋" w:eastAsia="仿宋" w:cs="仿宋"/>
              <w:color w:val="auto"/>
              <w:sz w:val="32"/>
              <w:szCs w:val="32"/>
              <w:highlight w:val="none"/>
            </w:rPr>
            <w:t>、部门</w:t>
          </w:r>
          <w:r>
            <w:rPr>
              <w:rFonts w:hint="eastAsia" w:ascii="仿宋" w:hAnsi="仿宋" w:eastAsia="仿宋" w:cs="仿宋"/>
              <w:color w:val="auto"/>
              <w:sz w:val="32"/>
              <w:szCs w:val="32"/>
              <w:highlight w:val="none"/>
              <w:lang w:eastAsia="zh-CN"/>
            </w:rPr>
            <w:t>整体支出绩效目标</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lang w:val="en-US" w:eastAsia="zh-CN"/>
            </w:rPr>
            <w:t>7</w:t>
          </w:r>
        </w:p>
        <w:p w14:paraId="04216078">
          <w:pPr>
            <w:pStyle w:val="15"/>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left="0" w:leftChars="0" w:firstLine="320" w:firstLineChars="1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三</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绩效指标分析</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lang w:val="en-US" w:eastAsia="zh-CN"/>
            </w:rPr>
            <w:t>8</w:t>
          </w:r>
        </w:p>
        <w:p w14:paraId="7E8F4D47">
          <w:pPr>
            <w:pStyle w:val="15"/>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_Toc3371 </w:instrText>
          </w:r>
          <w:r>
            <w:rPr>
              <w:rFonts w:hint="eastAsia" w:ascii="仿宋" w:hAnsi="仿宋" w:eastAsia="仿宋" w:cs="仿宋"/>
              <w:color w:val="auto"/>
              <w:sz w:val="32"/>
              <w:szCs w:val="32"/>
              <w:highlight w:val="none"/>
            </w:rPr>
            <w:fldChar w:fldCharType="separate"/>
          </w:r>
          <w:r>
            <w:rPr>
              <w:rFonts w:hint="eastAsia" w:ascii="仿宋" w:hAnsi="仿宋" w:eastAsia="仿宋" w:cs="仿宋"/>
              <w:bCs/>
              <w:color w:val="auto"/>
              <w:kern w:val="2"/>
              <w:sz w:val="32"/>
              <w:szCs w:val="32"/>
              <w:highlight w:val="none"/>
              <w:lang w:val="en-US" w:eastAsia="zh-CN" w:bidi="ar-SA"/>
            </w:rPr>
            <w:t>（一）整体效能</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_Toc3371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16</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739A87BF">
          <w:pPr>
            <w:pStyle w:val="15"/>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_Toc15719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二</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预算编制</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_Toc15719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19</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4B2634DA">
          <w:pPr>
            <w:pStyle w:val="15"/>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_Toc18834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三</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预算执行</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_Toc18834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19</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404A3581">
          <w:pPr>
            <w:pStyle w:val="15"/>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_Toc12344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四</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信息公开</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_Toc12344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20</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2B6ADF13">
          <w:pPr>
            <w:pStyle w:val="15"/>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_Toc30726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五</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绩效管理</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_Toc30726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21</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58037214">
          <w:pPr>
            <w:pStyle w:val="15"/>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_Toc5582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六</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采购管理</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_Toc5582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22</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3A29A85D">
          <w:pPr>
            <w:pStyle w:val="15"/>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_Toc25488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资产管理</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_Toc25488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24</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62E9260A">
          <w:pPr>
            <w:pStyle w:val="15"/>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rFonts w:hint="eastAsia" w:ascii="仿宋" w:hAnsi="仿宋" w:eastAsia="仿宋" w:cs="仿宋"/>
              <w:color w:val="auto"/>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_Toc12524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八</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运行成本</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_Toc12524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25</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711342FB">
          <w:pPr>
            <w:pStyle w:val="23"/>
            <w:spacing w:after="0" w:line="560" w:lineRule="exact"/>
            <w:jc w:val="both"/>
            <w:rPr>
              <w:rFonts w:ascii="仿宋_GB2312" w:eastAsia="仿宋_GB2312" w:hAnsiTheme="minorHAnsi"/>
              <w:color w:val="auto"/>
              <w:kern w:val="0"/>
              <w:sz w:val="32"/>
              <w:szCs w:val="32"/>
              <w:highlight w:val="none"/>
              <w:lang w:val="en-US" w:eastAsia="zh-CN" w:bidi="ar"/>
            </w:rPr>
          </w:pPr>
          <w:r>
            <w:rPr>
              <w:rFonts w:hint="eastAsia" w:ascii="仿宋" w:hAnsi="仿宋" w:eastAsia="仿宋" w:cs="仿宋"/>
              <w:color w:val="auto"/>
              <w:szCs w:val="28"/>
              <w:highlight w:val="none"/>
            </w:rPr>
            <w:fldChar w:fldCharType="end"/>
          </w:r>
          <w:r>
            <w:rPr>
              <w:rFonts w:hint="eastAsia" w:ascii="仿宋_GB2312" w:eastAsia="仿宋_GB2312" w:hAnsiTheme="minorHAnsi"/>
              <w:color w:val="auto"/>
              <w:kern w:val="0"/>
              <w:sz w:val="32"/>
              <w:szCs w:val="32"/>
              <w:highlight w:val="none"/>
              <w:lang w:val="en-US" w:eastAsia="zh-CN" w:bidi="ar"/>
            </w:rPr>
            <w:t>附件1：部门整体支出绩效指标评价评分表</w:t>
          </w:r>
        </w:p>
        <w:p w14:paraId="53765615">
          <w:pPr>
            <w:pStyle w:val="23"/>
            <w:spacing w:after="0" w:line="560" w:lineRule="exact"/>
            <w:jc w:val="both"/>
            <w:rPr>
              <w:rFonts w:hint="eastAsia" w:ascii="仿宋_GB2312" w:eastAsia="仿宋_GB2312" w:hAnsiTheme="minorHAnsi"/>
              <w:color w:val="auto"/>
              <w:kern w:val="0"/>
              <w:sz w:val="32"/>
              <w:szCs w:val="32"/>
              <w:highlight w:val="none"/>
              <w:lang w:val="en-US" w:eastAsia="zh-CN" w:bidi="ar"/>
            </w:rPr>
          </w:pPr>
          <w:r>
            <w:rPr>
              <w:rFonts w:hint="eastAsia" w:ascii="仿宋_GB2312" w:eastAsia="仿宋_GB2312" w:hAnsiTheme="minorHAnsi"/>
              <w:color w:val="auto"/>
              <w:kern w:val="0"/>
              <w:sz w:val="32"/>
              <w:szCs w:val="32"/>
              <w:highlight w:val="none"/>
              <w:lang w:val="en-US" w:eastAsia="zh-CN" w:bidi="ar"/>
            </w:rPr>
            <w:t>附件2：社会满意度测评问卷调查报告</w:t>
          </w:r>
        </w:p>
        <w:p w14:paraId="7B47CEA3">
          <w:pPr>
            <w:pStyle w:val="23"/>
            <w:spacing w:after="0" w:line="560" w:lineRule="exact"/>
            <w:jc w:val="both"/>
            <w:rPr>
              <w:color w:val="auto"/>
              <w:highlight w:val="none"/>
            </w:rPr>
          </w:pPr>
        </w:p>
      </w:sdtContent>
    </w:sdt>
    <w:p w14:paraId="4D713DDA">
      <w:pPr>
        <w:rPr>
          <w:rFonts w:eastAsia="方正小标宋简体" w:cs="仿宋_GB2312"/>
          <w:color w:val="auto"/>
          <w:sz w:val="32"/>
          <w:highlight w:val="none"/>
        </w:rPr>
      </w:pPr>
      <w:r>
        <w:rPr>
          <w:rFonts w:hint="eastAsia" w:eastAsia="方正小标宋简体" w:cs="仿宋_GB2312"/>
          <w:color w:val="auto"/>
          <w:sz w:val="32"/>
          <w:highlight w:val="none"/>
        </w:rPr>
        <w:t>第一部分：</w:t>
      </w:r>
    </w:p>
    <w:p w14:paraId="033B23C9">
      <w:pPr>
        <w:jc w:val="center"/>
        <w:rPr>
          <w:rFonts w:eastAsia="方正小标宋简体"/>
          <w:color w:val="auto"/>
          <w:sz w:val="44"/>
          <w:szCs w:val="44"/>
          <w:highlight w:val="none"/>
        </w:rPr>
      </w:pPr>
      <w:r>
        <w:rPr>
          <w:rFonts w:hint="eastAsia" w:eastAsia="方正小标宋简体"/>
          <w:color w:val="auto"/>
          <w:sz w:val="44"/>
          <w:szCs w:val="44"/>
          <w:highlight w:val="none"/>
        </w:rPr>
        <w:t>绩效报告</w:t>
      </w:r>
    </w:p>
    <w:p w14:paraId="0B02F725">
      <w:pPr>
        <w:pStyle w:val="23"/>
        <w:spacing w:after="0" w:line="360" w:lineRule="auto"/>
        <w:ind w:firstLine="640" w:firstLineChars="200"/>
        <w:jc w:val="both"/>
        <w:rPr>
          <w:rFonts w:ascii="仿宋_GB2312" w:eastAsia="仿宋_GB2312" w:hAnsiTheme="minorHAnsi"/>
          <w:color w:val="auto"/>
          <w:kern w:val="0"/>
          <w:sz w:val="32"/>
          <w:szCs w:val="32"/>
          <w:highlight w:val="none"/>
          <w:lang w:val="en-US" w:eastAsia="zh-CN" w:bidi="ar"/>
        </w:rPr>
      </w:pPr>
    </w:p>
    <w:p w14:paraId="18097272">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rPr>
          <w:rFonts w:ascii="仿宋_GB2312" w:eastAsia="仿宋_GB2312" w:hAnsiTheme="minorHAnsi"/>
          <w:color w:val="auto"/>
          <w:kern w:val="0"/>
          <w:sz w:val="32"/>
          <w:szCs w:val="32"/>
          <w:highlight w:val="none"/>
          <w:lang w:val="en-US" w:eastAsia="zh-CN" w:bidi="ar"/>
        </w:rPr>
      </w:pPr>
      <w:r>
        <w:rPr>
          <w:rFonts w:hint="eastAsia" w:ascii="仿宋_GB2312" w:eastAsia="仿宋_GB2312" w:hAnsiTheme="minorHAnsi"/>
          <w:color w:val="auto"/>
          <w:kern w:val="0"/>
          <w:sz w:val="32"/>
          <w:szCs w:val="32"/>
          <w:highlight w:val="none"/>
          <w:lang w:val="en-US" w:eastAsia="zh-CN" w:bidi="ar"/>
        </w:rPr>
        <w:t>为规范政府部门财政支出预算管理，强化政府部门履职效能，切实提高财政资金使用效益，湛江市霞山区财政局根据《关于开展 2023 年度财政资金线上绩效评价的通知》（湛霞财〔2024〕110 号）、《关于开展 2024 年区级部门单位整体支出和重点项目的财政重点绩效评价工作的通知》（湛霞财〔2024〕68号）要求等有关规定，委托湛江亿朗会计师事务所（普通合伙）（以下简称：评价小组），对2023年度湛江市霞山区海头街道办事处（以下简称“海头街道办”）部门整体支出实施绩效评价，形成了本绩效评价报告</w:t>
      </w:r>
      <w:r>
        <w:rPr>
          <w:rFonts w:hint="eastAsia" w:ascii="仿宋_GB2312" w:eastAsia="仿宋_GB2312" w:cs="宋体" w:hAnsiTheme="minorHAnsi"/>
          <w:color w:val="auto"/>
          <w:kern w:val="0"/>
          <w:sz w:val="32"/>
          <w:szCs w:val="32"/>
          <w:highlight w:val="none"/>
          <w:u w:val="none"/>
          <w:shd w:val="clear"/>
          <w:lang w:val="en-US" w:eastAsia="zh-CN" w:bidi="ar"/>
        </w:rPr>
        <w:t>。</w:t>
      </w:r>
    </w:p>
    <w:p w14:paraId="2B805B8A">
      <w:pPr>
        <w:pStyle w:val="23"/>
        <w:numPr>
          <w:ilvl w:val="0"/>
          <w:numId w:val="1"/>
        </w:numPr>
        <w:spacing w:after="0"/>
        <w:ind w:firstLine="740"/>
        <w:jc w:val="both"/>
        <w:outlineLvl w:val="1"/>
        <w:rPr>
          <w:rFonts w:ascii="黑体" w:hAnsi="黑体" w:eastAsia="黑体" w:cs="黑体"/>
          <w:color w:val="auto"/>
          <w:kern w:val="0"/>
          <w:sz w:val="32"/>
          <w:szCs w:val="32"/>
          <w:highlight w:val="none"/>
          <w:lang w:val="en-US" w:eastAsia="zh-CN" w:bidi="ar"/>
        </w:rPr>
      </w:pPr>
      <w:bookmarkStart w:id="6" w:name="_Toc1375"/>
      <w:bookmarkStart w:id="7" w:name="_Toc18714"/>
      <w:bookmarkStart w:id="8" w:name="_Toc27678"/>
      <w:r>
        <w:rPr>
          <w:rFonts w:hint="eastAsia" w:ascii="黑体" w:hAnsi="黑体" w:eastAsia="黑体" w:cs="黑体"/>
          <w:color w:val="auto"/>
          <w:kern w:val="0"/>
          <w:sz w:val="32"/>
          <w:szCs w:val="32"/>
          <w:highlight w:val="none"/>
          <w:lang w:val="en-US" w:eastAsia="zh-CN" w:bidi="ar"/>
        </w:rPr>
        <w:t>部门整体概况</w:t>
      </w:r>
      <w:bookmarkEnd w:id="6"/>
      <w:bookmarkEnd w:id="7"/>
      <w:bookmarkEnd w:id="8"/>
    </w:p>
    <w:p w14:paraId="27115D1F">
      <w:pPr>
        <w:pStyle w:val="23"/>
        <w:numPr>
          <w:ilvl w:val="0"/>
          <w:numId w:val="2"/>
        </w:numPr>
        <w:spacing w:after="0"/>
        <w:ind w:firstLine="643" w:firstLineChars="200"/>
        <w:jc w:val="both"/>
        <w:outlineLvl w:val="2"/>
        <w:rPr>
          <w:rFonts w:ascii="楷体" w:hAnsi="楷体" w:eastAsia="楷体"/>
          <w:b/>
          <w:color w:val="auto"/>
          <w:sz w:val="32"/>
          <w:szCs w:val="32"/>
          <w:highlight w:val="none"/>
          <w:lang w:val="en-US" w:eastAsia="zh-CN" w:bidi="ar-SA"/>
        </w:rPr>
      </w:pPr>
      <w:bookmarkStart w:id="9" w:name="_Toc20139"/>
      <w:bookmarkStart w:id="10" w:name="_Toc9997"/>
      <w:r>
        <w:rPr>
          <w:rFonts w:hint="eastAsia" w:ascii="楷体" w:hAnsi="楷体" w:eastAsia="楷体"/>
          <w:b/>
          <w:color w:val="auto"/>
          <w:sz w:val="32"/>
          <w:szCs w:val="32"/>
          <w:highlight w:val="none"/>
          <w:lang w:val="en-US" w:eastAsia="zh-CN" w:bidi="ar-SA"/>
        </w:rPr>
        <w:t>部门</w:t>
      </w:r>
      <w:bookmarkEnd w:id="9"/>
      <w:bookmarkEnd w:id="10"/>
      <w:r>
        <w:rPr>
          <w:rFonts w:hint="eastAsia" w:ascii="楷体" w:hAnsi="楷体" w:eastAsia="楷体"/>
          <w:b/>
          <w:color w:val="auto"/>
          <w:sz w:val="32"/>
          <w:szCs w:val="32"/>
          <w:highlight w:val="none"/>
          <w:lang w:val="en-US" w:eastAsia="zh-CN" w:bidi="ar-SA"/>
        </w:rPr>
        <w:t>基本情况</w:t>
      </w:r>
    </w:p>
    <w:p w14:paraId="2C63AD4F">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rPr>
          <w:rFonts w:hint="eastAsia" w:ascii="仿宋_GB2312" w:eastAsia="仿宋_GB2312" w:hAnsiTheme="minorHAnsi"/>
          <w:color w:val="auto"/>
          <w:kern w:val="0"/>
          <w:sz w:val="32"/>
          <w:szCs w:val="32"/>
          <w:highlight w:val="none"/>
          <w:lang w:val="en-US" w:eastAsia="zh-CN" w:bidi="ar"/>
        </w:rPr>
      </w:pPr>
      <w:bookmarkStart w:id="11" w:name="_Toc8023"/>
      <w:bookmarkStart w:id="12" w:name="_Toc27233"/>
      <w:r>
        <w:rPr>
          <w:rFonts w:hint="eastAsia" w:ascii="仿宋_GB2312" w:eastAsia="仿宋_GB2312" w:hAnsiTheme="minorHAnsi"/>
          <w:color w:val="auto"/>
          <w:kern w:val="0"/>
          <w:sz w:val="32"/>
          <w:szCs w:val="32"/>
          <w:highlight w:val="none"/>
          <w:lang w:val="en-US" w:eastAsia="zh-CN" w:bidi="ar"/>
        </w:rPr>
        <w:t>湛江市霞山区海头街道办事处属行政单位，上级单位是湛江市霞山区政府，执行政府会计制度，独立编制机构数3个，独立核算机构数1个。</w:t>
      </w:r>
    </w:p>
    <w:p w14:paraId="1221CAFE">
      <w:pPr>
        <w:pStyle w:val="23"/>
        <w:numPr>
          <w:ilvl w:val="0"/>
          <w:numId w:val="2"/>
        </w:numPr>
        <w:spacing w:after="0"/>
        <w:ind w:firstLine="643" w:firstLineChars="200"/>
        <w:jc w:val="both"/>
        <w:outlineLvl w:val="2"/>
        <w:rPr>
          <w:rFonts w:ascii="楷体" w:hAnsi="楷体" w:eastAsia="楷体"/>
          <w:b/>
          <w:color w:val="auto"/>
          <w:sz w:val="32"/>
          <w:szCs w:val="32"/>
          <w:highlight w:val="none"/>
          <w:lang w:val="en-US" w:eastAsia="zh-CN" w:bidi="ar-SA"/>
        </w:rPr>
      </w:pPr>
      <w:r>
        <w:rPr>
          <w:rFonts w:hint="eastAsia" w:ascii="楷体" w:hAnsi="楷体" w:eastAsia="楷体"/>
          <w:b/>
          <w:color w:val="auto"/>
          <w:sz w:val="32"/>
          <w:szCs w:val="32"/>
          <w:highlight w:val="none"/>
          <w:lang w:val="en-US" w:eastAsia="zh-CN" w:bidi="ar-SA"/>
        </w:rPr>
        <w:t>机构设置与人员情况</w:t>
      </w:r>
      <w:bookmarkEnd w:id="11"/>
      <w:bookmarkEnd w:id="12"/>
    </w:p>
    <w:p w14:paraId="789DD390">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rPr>
          <w:rFonts w:hint="eastAsia" w:ascii="仿宋_GB2312" w:eastAsia="仿宋_GB2312" w:hAnsiTheme="minorHAnsi"/>
          <w:color w:val="auto"/>
          <w:kern w:val="0"/>
          <w:sz w:val="32"/>
          <w:szCs w:val="32"/>
          <w:highlight w:val="none"/>
          <w:lang w:val="en-US" w:eastAsia="zh-CN" w:bidi="ar"/>
        </w:rPr>
      </w:pPr>
      <w:bookmarkStart w:id="13" w:name="_Toc4298"/>
      <w:bookmarkStart w:id="14" w:name="_Toc28266"/>
      <w:r>
        <w:rPr>
          <w:rFonts w:hint="eastAsia" w:ascii="仿宋_GB2312" w:eastAsia="仿宋_GB2312" w:hAnsiTheme="minorHAnsi"/>
          <w:color w:val="auto"/>
          <w:kern w:val="0"/>
          <w:sz w:val="32"/>
          <w:szCs w:val="32"/>
          <w:highlight w:val="none"/>
          <w:lang w:val="en-US" w:eastAsia="zh-CN" w:bidi="ar"/>
        </w:rPr>
        <w:t>海头街道办为湛江市霞山区人民政府派出的办事机构，代表区人民政府履行管理街道各项事业职责。主要职能为：1.贯彻执行党和国家各项方针、政策、法律法规，以及省委、省政府、市委、市政府、区委、区政府的各项决议、决定和工作部署，努力促进街道经济和社会各项事业稳步发展；2.制定街道各项事业发展的中长期规划、年度计划、并组织实施；3.负责街道辖区的社区建设、社区服务、计划生育、民政、信访、普法、司法、人民调解、社会治安综合治理、爱国卫生、市容环境卫生和门前“三包”等工作；4.协调有关部门做好有关处级保健、计划免疫、物价管理、劳动就业、城市管理、市政建设和征兵等工作；5.负责管理街道辖区企业；6.指导街道各居委会、村委会工作；7.承办区委、区政府及有关职能部门交办的其他事项。</w:t>
      </w:r>
    </w:p>
    <w:p w14:paraId="082B2731">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rPr>
          <w:rFonts w:hint="eastAsia" w:ascii="仿宋_GB2312" w:eastAsia="仿宋_GB2312" w:hAnsiTheme="minorHAnsi"/>
          <w:color w:val="auto"/>
          <w:kern w:val="0"/>
          <w:sz w:val="32"/>
          <w:szCs w:val="32"/>
          <w:highlight w:val="none"/>
          <w:lang w:val="en-US" w:eastAsia="zh-CN" w:bidi="ar"/>
        </w:rPr>
      </w:pPr>
      <w:r>
        <w:rPr>
          <w:rFonts w:hint="eastAsia" w:ascii="仿宋_GB2312" w:eastAsia="仿宋_GB2312" w:hAnsiTheme="minorHAnsi"/>
          <w:color w:val="auto"/>
          <w:kern w:val="0"/>
          <w:sz w:val="32"/>
          <w:szCs w:val="32"/>
          <w:highlight w:val="none"/>
          <w:lang w:val="en-US" w:eastAsia="zh-CN" w:bidi="ar"/>
        </w:rPr>
        <w:t>截至2023年12月31 日，海头街道办编制部门核定编制在职人员为54人（其中行政编44人，事业编10人）;年末实有在职人员为51人（其中行政编39人，事业编11人，原后勤1人）。</w:t>
      </w:r>
    </w:p>
    <w:p w14:paraId="4341EBC4">
      <w:pPr>
        <w:pStyle w:val="23"/>
        <w:spacing w:after="0"/>
        <w:ind w:firstLine="643" w:firstLineChars="200"/>
        <w:jc w:val="both"/>
        <w:outlineLvl w:val="2"/>
        <w:rPr>
          <w:rFonts w:ascii="仿宋_GB2312" w:eastAsia="仿宋_GB2312"/>
          <w:b/>
          <w:bCs/>
          <w:color w:val="auto"/>
          <w:kern w:val="0"/>
          <w:sz w:val="32"/>
          <w:szCs w:val="32"/>
          <w:highlight w:val="none"/>
          <w:lang w:val="en-US" w:eastAsia="zh-CN" w:bidi="ar"/>
        </w:rPr>
      </w:pPr>
      <w:r>
        <w:rPr>
          <w:rFonts w:hint="eastAsia" w:ascii="仿宋_GB2312" w:eastAsia="仿宋_GB2312"/>
          <w:b/>
          <w:bCs/>
          <w:color w:val="auto"/>
          <w:kern w:val="0"/>
          <w:sz w:val="32"/>
          <w:szCs w:val="32"/>
          <w:highlight w:val="none"/>
          <w:lang w:val="en-US" w:eastAsia="zh-CN" w:bidi="ar"/>
        </w:rPr>
        <w:t>（三）</w:t>
      </w:r>
      <w:r>
        <w:rPr>
          <w:rFonts w:hint="eastAsia" w:ascii="楷体" w:hAnsi="楷体" w:eastAsia="楷体"/>
          <w:b/>
          <w:color w:val="auto"/>
          <w:sz w:val="32"/>
          <w:szCs w:val="32"/>
          <w:highlight w:val="none"/>
          <w:lang w:val="en-US" w:eastAsia="zh-CN" w:bidi="ar-SA"/>
        </w:rPr>
        <w:t>部门整体收支情况</w:t>
      </w:r>
      <w:bookmarkEnd w:id="13"/>
      <w:bookmarkEnd w:id="14"/>
    </w:p>
    <w:p w14:paraId="02A2142A">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rPr>
          <w:rFonts w:hint="eastAsia" w:ascii="仿宋_GB2312" w:eastAsia="仿宋_GB2312" w:hAnsiTheme="minorHAnsi"/>
          <w:color w:val="auto"/>
          <w:kern w:val="0"/>
          <w:sz w:val="32"/>
          <w:szCs w:val="32"/>
          <w:highlight w:val="none"/>
          <w:lang w:val="en-US" w:eastAsia="zh-CN" w:bidi="ar"/>
        </w:rPr>
      </w:pPr>
      <w:bookmarkStart w:id="15" w:name="_Toc26856"/>
      <w:bookmarkStart w:id="16" w:name="_Toc29193"/>
      <w:bookmarkStart w:id="17" w:name="_Toc24926"/>
      <w:bookmarkStart w:id="18" w:name="_Toc31095"/>
      <w:bookmarkStart w:id="19" w:name="_Toc1043"/>
      <w:bookmarkStart w:id="20" w:name="_Toc24312"/>
      <w:bookmarkStart w:id="21" w:name="_Toc16186"/>
      <w:bookmarkStart w:id="22" w:name="_Toc6402"/>
      <w:bookmarkStart w:id="23" w:name="_Toc1565"/>
      <w:bookmarkStart w:id="24" w:name="_Toc9644"/>
      <w:r>
        <w:rPr>
          <w:rFonts w:hint="eastAsia" w:ascii="仿宋_GB2312" w:eastAsia="仿宋_GB2312" w:hAnsiTheme="minorHAnsi"/>
          <w:color w:val="auto"/>
          <w:kern w:val="0"/>
          <w:sz w:val="32"/>
          <w:szCs w:val="32"/>
          <w:highlight w:val="none"/>
          <w:lang w:val="en-US" w:eastAsia="zh-CN" w:bidi="ar"/>
        </w:rPr>
        <w:t>根据《关于开展霞山区2023年度部门预算批复及信息公开工作的通知》（湛霞财〔2023〕1号）、2023年部门决算报表（收入支出决算总表），部门整体收支情况如下：</w:t>
      </w:r>
    </w:p>
    <w:p w14:paraId="42F00659">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right"/>
        <w:rPr>
          <w:rFonts w:hint="eastAsia" w:ascii="仿宋_GB2312" w:eastAsia="仿宋_GB2312" w:hAnsiTheme="minorHAnsi"/>
          <w:color w:val="auto"/>
          <w:kern w:val="0"/>
          <w:sz w:val="32"/>
          <w:szCs w:val="32"/>
          <w:highlight w:val="none"/>
          <w:lang w:val="en-US" w:eastAsia="zh-CN" w:bidi="ar"/>
        </w:rPr>
      </w:pPr>
      <w:r>
        <w:rPr>
          <w:rFonts w:hint="eastAsia" w:ascii="仿宋_GB2312" w:eastAsia="仿宋_GB2312" w:hAnsiTheme="minorHAnsi"/>
          <w:color w:val="auto"/>
          <w:kern w:val="0"/>
          <w:sz w:val="32"/>
          <w:szCs w:val="32"/>
          <w:highlight w:val="none"/>
          <w:lang w:val="en-US" w:eastAsia="zh-CN" w:bidi="ar"/>
        </w:rPr>
        <w:t>单位：万元</w:t>
      </w:r>
      <w:bookmarkEnd w:id="15"/>
      <w:bookmarkEnd w:id="16"/>
      <w:bookmarkEnd w:id="17"/>
      <w:bookmarkEnd w:id="18"/>
      <w:bookmarkEnd w:id="19"/>
      <w:bookmarkEnd w:id="20"/>
      <w:bookmarkEnd w:id="21"/>
      <w:bookmarkEnd w:id="22"/>
      <w:bookmarkEnd w:id="23"/>
      <w:bookmarkEnd w:id="24"/>
    </w:p>
    <w:tbl>
      <w:tblPr>
        <w:tblStyle w:val="18"/>
        <w:tblW w:w="82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30"/>
        <w:gridCol w:w="1740"/>
        <w:gridCol w:w="1740"/>
        <w:gridCol w:w="1740"/>
      </w:tblGrid>
      <w:tr w14:paraId="5FBC7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A4B4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bookmarkStart w:id="25" w:name="_Toc7174"/>
            <w:bookmarkStart w:id="26" w:name="_Toc3754"/>
            <w:r>
              <w:rPr>
                <w:rFonts w:hint="eastAsia" w:ascii="宋体" w:hAnsi="宋体" w:eastAsia="宋体" w:cs="宋体"/>
                <w:i w:val="0"/>
                <w:iCs w:val="0"/>
                <w:color w:val="auto"/>
                <w:kern w:val="0"/>
                <w:sz w:val="24"/>
                <w:szCs w:val="24"/>
                <w:u w:val="none"/>
                <w:lang w:val="en-US" w:eastAsia="zh-CN" w:bidi="ar"/>
              </w:rPr>
              <w:t>项目</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(按支出性质和经济分类)</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E10E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年初预算数</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6D39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全年预算数</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0822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决算数</w:t>
            </w:r>
          </w:p>
        </w:tc>
      </w:tr>
      <w:tr w14:paraId="50D31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3F88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一、基本支出</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B11DF">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787.01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FB37A">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880.71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A9A13">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880.71</w:t>
            </w:r>
          </w:p>
        </w:tc>
      </w:tr>
      <w:tr w14:paraId="1FE41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89C1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人员经费</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8E2D0">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750.38</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D87E4">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854.65</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DEA11">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854.65</w:t>
            </w:r>
          </w:p>
        </w:tc>
      </w:tr>
      <w:tr w14:paraId="43770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1E6A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公用经费</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A16B7">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36.63</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5D9E4">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26.06</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54F52">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26.06</w:t>
            </w:r>
          </w:p>
        </w:tc>
      </w:tr>
      <w:tr w14:paraId="4D550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A20D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二、项目支出</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BF357">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576.97</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12904">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299.24</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C7283">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299.24</w:t>
            </w:r>
          </w:p>
        </w:tc>
      </w:tr>
      <w:tr w14:paraId="32C09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77FB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其中：基本建设类项目</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327A7">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0.00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3F4E6">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0.00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2BEC4">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0.00</w:t>
            </w:r>
          </w:p>
        </w:tc>
      </w:tr>
      <w:tr w14:paraId="0FE93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7C6F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三、上缴上级支出</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5B84F">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0.00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0FD8B">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0.00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8F180">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0.00</w:t>
            </w:r>
          </w:p>
        </w:tc>
      </w:tr>
      <w:tr w14:paraId="3A367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F478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四、经营支出</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A4969">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0.00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805C7">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0.00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81B79">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0.00</w:t>
            </w:r>
          </w:p>
        </w:tc>
      </w:tr>
      <w:tr w14:paraId="76EBD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8247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五、对附属单位补助支出</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E7BE3">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0.00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BC007">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0.00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66133">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0.00</w:t>
            </w:r>
          </w:p>
        </w:tc>
      </w:tr>
      <w:tr w14:paraId="5DE43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D353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经济分类支出合计</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4F8E9">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1,363.98</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8F662">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1,179.95</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BF52C">
            <w:pPr>
              <w:keepNext w:val="0"/>
              <w:keepLines w:val="0"/>
              <w:widowControl/>
              <w:suppressLineNumbers w:val="0"/>
              <w:jc w:val="right"/>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1,179.95</w:t>
            </w:r>
          </w:p>
        </w:tc>
      </w:tr>
    </w:tbl>
    <w:p w14:paraId="55BD952A">
      <w:pPr>
        <w:ind w:firstLine="640" w:firstLineChars="200"/>
        <w:outlineLvl w:val="1"/>
        <w:rPr>
          <w:rFonts w:ascii="楷体" w:hAnsi="楷体" w:eastAsia="楷体" w:cs="宋体"/>
          <w:b/>
          <w:color w:val="auto"/>
          <w:sz w:val="32"/>
          <w:szCs w:val="32"/>
          <w:highlight w:val="none"/>
        </w:rPr>
      </w:pPr>
      <w:bookmarkStart w:id="27" w:name="_Toc29586"/>
      <w:r>
        <w:rPr>
          <w:rFonts w:hint="eastAsia" w:ascii="黑体" w:hAnsi="黑体" w:eastAsia="黑体" w:cs="黑体"/>
          <w:color w:val="auto"/>
          <w:kern w:val="0"/>
          <w:sz w:val="32"/>
          <w:szCs w:val="32"/>
          <w:highlight w:val="none"/>
          <w:lang w:bidi="ar"/>
        </w:rPr>
        <w:t>二、绩效评价原则与方法</w:t>
      </w:r>
      <w:bookmarkEnd w:id="25"/>
      <w:bookmarkEnd w:id="26"/>
      <w:bookmarkEnd w:id="27"/>
    </w:p>
    <w:p w14:paraId="6CF2DA44">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rPr>
          <w:rFonts w:hint="eastAsia" w:ascii="仿宋_GB2312" w:eastAsia="仿宋_GB2312" w:hAnsiTheme="minorHAnsi"/>
          <w:color w:val="auto"/>
          <w:kern w:val="0"/>
          <w:sz w:val="32"/>
          <w:szCs w:val="32"/>
          <w:highlight w:val="none"/>
          <w:lang w:val="en-US" w:eastAsia="zh-CN" w:bidi="ar"/>
        </w:rPr>
      </w:pPr>
      <w:bookmarkStart w:id="28" w:name="_Toc16904"/>
      <w:bookmarkStart w:id="29" w:name="_Toc24864"/>
      <w:bookmarkStart w:id="30" w:name="_Toc5499"/>
      <w:bookmarkStart w:id="31" w:name="_Toc31398"/>
      <w:bookmarkStart w:id="32" w:name="_Toc17009"/>
      <w:bookmarkStart w:id="33" w:name="_Toc6851"/>
      <w:r>
        <w:rPr>
          <w:rFonts w:hint="eastAsia" w:ascii="仿宋_GB2312" w:eastAsia="仿宋_GB2312" w:hAnsiTheme="minorHAnsi"/>
          <w:color w:val="auto"/>
          <w:kern w:val="0"/>
          <w:sz w:val="32"/>
          <w:szCs w:val="32"/>
          <w:highlight w:val="none"/>
          <w:lang w:val="en-US" w:eastAsia="zh-CN" w:bidi="ar"/>
        </w:rPr>
        <w:t>以关于印发《霞山区区级部门单位整体支出绩效评价管理办法》的通知（湛霞财〔2022〕33 号）、《关于开展 2023 年度财政资金线上绩效评价的通知》（湛霞财〔2024〕110 号）、《关于开展 2024 年区级部门单位整体支出和重点项目的财政重点绩效评价工作的通知》（湛霞财〔2024〕68号）为依据，绩效评价遵循责任明确、分级负责、客观公正、公开透明的原则，在报送的自评材料基础上，评价小组对自评材料真实性、规范性、完整性、准确性及整体效能、预算编制、预算执行、信息公开等方面进行评价，依据部门整体支出绩效评价指标体系考核和衡量部门整体支出综合绩效情况。</w:t>
      </w:r>
      <w:bookmarkEnd w:id="28"/>
      <w:bookmarkEnd w:id="29"/>
      <w:bookmarkEnd w:id="30"/>
      <w:bookmarkEnd w:id="31"/>
    </w:p>
    <w:p w14:paraId="14DC159D">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rPr>
          <w:rFonts w:hint="eastAsia" w:ascii="仿宋_GB2312" w:eastAsia="仿宋_GB2312" w:hAnsiTheme="minorHAnsi"/>
          <w:color w:val="auto"/>
          <w:kern w:val="0"/>
          <w:sz w:val="32"/>
          <w:szCs w:val="32"/>
          <w:highlight w:val="none"/>
          <w:lang w:val="en-US" w:eastAsia="zh-CN" w:bidi="ar"/>
        </w:rPr>
      </w:pPr>
      <w:bookmarkStart w:id="34" w:name="_Toc28582"/>
      <w:bookmarkStart w:id="35" w:name="_Toc29264"/>
      <w:bookmarkStart w:id="36" w:name="_Toc20128"/>
      <w:bookmarkStart w:id="37" w:name="_Toc30630"/>
      <w:r>
        <w:rPr>
          <w:rFonts w:hint="eastAsia" w:ascii="仿宋_GB2312" w:eastAsia="仿宋_GB2312" w:hAnsiTheme="minorHAnsi"/>
          <w:color w:val="auto"/>
          <w:kern w:val="0"/>
          <w:sz w:val="32"/>
          <w:szCs w:val="32"/>
          <w:highlight w:val="none"/>
          <w:lang w:val="en-US" w:eastAsia="zh-CN" w:bidi="ar"/>
        </w:rPr>
        <w:t>本次绩效评价以书面材料评价、电话访谈为基础，综合对资金的履职效能、管理效率等两个方面进行综合评价。</w:t>
      </w:r>
      <w:bookmarkEnd w:id="34"/>
      <w:bookmarkEnd w:id="35"/>
      <w:bookmarkEnd w:id="36"/>
      <w:bookmarkEnd w:id="37"/>
    </w:p>
    <w:p w14:paraId="40E24712">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rPr>
          <w:rFonts w:hint="eastAsia" w:ascii="仿宋_GB2312" w:eastAsia="仿宋_GB2312" w:hAnsiTheme="minorHAnsi"/>
          <w:color w:val="auto"/>
          <w:kern w:val="0"/>
          <w:sz w:val="32"/>
          <w:szCs w:val="32"/>
          <w:highlight w:val="none"/>
          <w:lang w:val="en-US" w:eastAsia="zh-CN" w:bidi="ar"/>
        </w:rPr>
      </w:pPr>
      <w:bookmarkStart w:id="38" w:name="_Toc1316"/>
      <w:bookmarkStart w:id="39" w:name="_Toc25779"/>
      <w:bookmarkStart w:id="40" w:name="_Toc1793"/>
      <w:bookmarkStart w:id="41" w:name="_Toc28345"/>
      <w:r>
        <w:rPr>
          <w:rFonts w:hint="eastAsia" w:ascii="仿宋_GB2312" w:eastAsia="仿宋_GB2312" w:hAnsiTheme="minorHAnsi"/>
          <w:color w:val="auto"/>
          <w:kern w:val="0"/>
          <w:sz w:val="32"/>
          <w:szCs w:val="32"/>
          <w:highlight w:val="none"/>
          <w:lang w:val="en-US" w:eastAsia="zh-CN" w:bidi="ar"/>
        </w:rPr>
        <w:t>绩效评价结果设置为5个等级，分别为：优（≥90分）、良（80≤×＜90）、中（70≤×＜80）、低（60≤×＜70）、差（＜60分）。</w:t>
      </w:r>
      <w:bookmarkEnd w:id="38"/>
      <w:bookmarkEnd w:id="39"/>
      <w:bookmarkEnd w:id="40"/>
      <w:bookmarkEnd w:id="41"/>
    </w:p>
    <w:p w14:paraId="5CAD35A3">
      <w:pPr>
        <w:ind w:left="740"/>
        <w:outlineLvl w:val="1"/>
        <w:rPr>
          <w:rFonts w:ascii="黑体" w:hAnsi="黑体" w:eastAsia="黑体" w:cs="黑体"/>
          <w:color w:val="auto"/>
          <w:kern w:val="0"/>
          <w:sz w:val="32"/>
          <w:szCs w:val="32"/>
          <w:highlight w:val="none"/>
          <w:lang w:bidi="ar"/>
        </w:rPr>
      </w:pPr>
      <w:bookmarkStart w:id="42" w:name="_Toc28058"/>
      <w:r>
        <w:rPr>
          <w:rFonts w:hint="eastAsia" w:ascii="黑体" w:hAnsi="黑体" w:eastAsia="黑体" w:cs="黑体"/>
          <w:color w:val="auto"/>
          <w:kern w:val="0"/>
          <w:sz w:val="32"/>
          <w:szCs w:val="32"/>
          <w:highlight w:val="none"/>
          <w:lang w:bidi="ar"/>
        </w:rPr>
        <w:t>三、评价结论与绩效分析</w:t>
      </w:r>
      <w:bookmarkEnd w:id="32"/>
      <w:bookmarkEnd w:id="33"/>
      <w:bookmarkEnd w:id="42"/>
    </w:p>
    <w:p w14:paraId="167C048E">
      <w:pPr>
        <w:pStyle w:val="23"/>
        <w:spacing w:after="0"/>
        <w:ind w:firstLine="643" w:firstLineChars="200"/>
        <w:jc w:val="both"/>
        <w:outlineLvl w:val="2"/>
        <w:rPr>
          <w:rFonts w:ascii="楷体" w:hAnsi="楷体" w:eastAsia="楷体" w:cs="楷体"/>
          <w:b/>
          <w:bCs/>
          <w:color w:val="auto"/>
          <w:kern w:val="0"/>
          <w:sz w:val="32"/>
          <w:szCs w:val="32"/>
          <w:highlight w:val="none"/>
          <w:lang w:val="en-US" w:eastAsia="zh-CN" w:bidi="ar"/>
        </w:rPr>
      </w:pPr>
      <w:bookmarkStart w:id="43" w:name="_Toc28994"/>
      <w:bookmarkStart w:id="44" w:name="_Toc54"/>
      <w:r>
        <w:rPr>
          <w:rFonts w:hint="eastAsia" w:ascii="楷体" w:hAnsi="楷体" w:eastAsia="楷体" w:cs="楷体"/>
          <w:b/>
          <w:bCs/>
          <w:color w:val="auto"/>
          <w:kern w:val="0"/>
          <w:sz w:val="32"/>
          <w:szCs w:val="32"/>
          <w:highlight w:val="none"/>
          <w:lang w:val="en-US" w:eastAsia="zh-CN" w:bidi="ar"/>
        </w:rPr>
        <w:t>（一）总体结论</w:t>
      </w:r>
      <w:bookmarkEnd w:id="43"/>
      <w:bookmarkEnd w:id="44"/>
    </w:p>
    <w:p w14:paraId="27AAF738">
      <w:pPr>
        <w:ind w:left="740"/>
        <w:jc w:val="center"/>
        <w:outlineLvl w:val="0"/>
        <w:rPr>
          <w:rFonts w:ascii="仿宋_GB2312" w:hAnsi="宋体" w:eastAsia="仿宋_GB2312" w:cs="宋体"/>
          <w:b/>
          <w:bCs/>
          <w:color w:val="auto"/>
          <w:kern w:val="0"/>
          <w:sz w:val="32"/>
          <w:szCs w:val="32"/>
          <w:highlight w:val="none"/>
          <w:lang w:bidi="ar"/>
        </w:rPr>
      </w:pPr>
      <w:bookmarkStart w:id="45" w:name="_Toc3288"/>
      <w:bookmarkStart w:id="46" w:name="_Toc32185"/>
      <w:bookmarkStart w:id="47" w:name="_Toc5770"/>
      <w:bookmarkStart w:id="48" w:name="_Toc9170"/>
      <w:bookmarkStart w:id="49" w:name="_Toc21353"/>
      <w:bookmarkStart w:id="50" w:name="_Toc2671"/>
      <w:bookmarkStart w:id="51" w:name="_Toc21560"/>
      <w:bookmarkStart w:id="52" w:name="_Toc15004"/>
      <w:bookmarkStart w:id="53" w:name="_Toc25862"/>
      <w:r>
        <w:rPr>
          <w:rFonts w:hint="eastAsia" w:ascii="仿宋_GB2312" w:hAnsi="宋体" w:eastAsia="仿宋_GB2312" w:cs="宋体"/>
          <w:b/>
          <w:bCs/>
          <w:color w:val="auto"/>
          <w:kern w:val="0"/>
          <w:sz w:val="32"/>
          <w:szCs w:val="32"/>
          <w:highlight w:val="none"/>
          <w:lang w:bidi="ar"/>
        </w:rPr>
        <w:t>评价得分总表</w:t>
      </w:r>
      <w:bookmarkEnd w:id="45"/>
      <w:bookmarkEnd w:id="46"/>
      <w:bookmarkEnd w:id="47"/>
      <w:bookmarkEnd w:id="48"/>
      <w:bookmarkEnd w:id="49"/>
      <w:bookmarkEnd w:id="50"/>
      <w:bookmarkEnd w:id="51"/>
      <w:bookmarkEnd w:id="52"/>
      <w:bookmarkEnd w:id="53"/>
    </w:p>
    <w:tbl>
      <w:tblPr>
        <w:tblStyle w:val="18"/>
        <w:tblW w:w="82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90"/>
        <w:gridCol w:w="1920"/>
        <w:gridCol w:w="1920"/>
        <w:gridCol w:w="1920"/>
      </w:tblGrid>
      <w:tr w14:paraId="5DFEA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E8A4D">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u w:val="none"/>
                <w:lang w:val="en-US" w:eastAsia="zh-CN" w:bidi="ar"/>
              </w:rPr>
              <w:t>评价因素</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8FF6B">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u w:val="none"/>
                <w:lang w:val="en-US" w:eastAsia="zh-CN" w:bidi="ar"/>
              </w:rPr>
              <w:t>分值</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5F20E">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u w:val="none"/>
                <w:lang w:val="en-US" w:eastAsia="zh-CN" w:bidi="ar"/>
              </w:rPr>
              <w:t>评价得分</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E5453">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u w:val="none"/>
                <w:lang w:val="en-US" w:eastAsia="zh-CN" w:bidi="ar"/>
              </w:rPr>
              <w:t>得分率</w:t>
            </w:r>
          </w:p>
        </w:tc>
      </w:tr>
      <w:tr w14:paraId="5837D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23844">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u w:val="none"/>
                <w:lang w:val="en-US" w:eastAsia="zh-CN" w:bidi="ar"/>
              </w:rPr>
              <w:t>评价总得分</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2F501">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b/>
                <w:bCs/>
                <w:i w:val="0"/>
                <w:iCs w:val="0"/>
                <w:color w:val="auto"/>
                <w:kern w:val="0"/>
                <w:sz w:val="24"/>
                <w:szCs w:val="24"/>
                <w:u w:val="none"/>
                <w:lang w:val="en-US" w:eastAsia="zh-CN" w:bidi="ar"/>
              </w:rPr>
              <w:t>100</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8237D">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b/>
                <w:bCs/>
                <w:i w:val="0"/>
                <w:iCs w:val="0"/>
                <w:color w:val="auto"/>
                <w:kern w:val="0"/>
                <w:sz w:val="24"/>
                <w:szCs w:val="24"/>
                <w:u w:val="none"/>
                <w:lang w:val="en-US" w:eastAsia="zh-CN" w:bidi="ar"/>
              </w:rPr>
              <w:t>84.08</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B6093">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b/>
                <w:bCs/>
                <w:i w:val="0"/>
                <w:iCs w:val="0"/>
                <w:color w:val="auto"/>
                <w:kern w:val="0"/>
                <w:sz w:val="24"/>
                <w:szCs w:val="24"/>
                <w:u w:val="none"/>
                <w:lang w:val="en-US" w:eastAsia="zh-CN" w:bidi="ar"/>
              </w:rPr>
              <w:t>84.08%</w:t>
            </w:r>
          </w:p>
        </w:tc>
      </w:tr>
      <w:tr w14:paraId="4C879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F6652">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一、整体效能</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7AB9D">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50</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1098F">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45</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7691D">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90.00%</w:t>
            </w:r>
          </w:p>
        </w:tc>
      </w:tr>
      <w:tr w14:paraId="7BD1A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84208">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二、预算编制</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59BE6">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2</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BA0A9">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0</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7F75C">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0.00%</w:t>
            </w:r>
          </w:p>
        </w:tc>
      </w:tr>
      <w:tr w14:paraId="11E83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3CF06">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三、预算执行</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6A583">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7</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78E2E">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6.68</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F4CED">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95.43%</w:t>
            </w:r>
          </w:p>
        </w:tc>
      </w:tr>
      <w:tr w14:paraId="6A1F0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0254F">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四、信息公开</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DFB0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3</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D576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2</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5CF5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66.67%</w:t>
            </w:r>
          </w:p>
        </w:tc>
      </w:tr>
      <w:tr w14:paraId="26E8E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9FEF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五、绩效管理</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26C8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15</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4C08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11.9</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E84A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79.33%</w:t>
            </w:r>
          </w:p>
        </w:tc>
      </w:tr>
      <w:tr w14:paraId="6B139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F368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六、采购管理</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65C5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10</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7CA1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6.5</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DA55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65.00%</w:t>
            </w:r>
          </w:p>
        </w:tc>
      </w:tr>
      <w:tr w14:paraId="1A08D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73B9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七、资产管理</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7353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10</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1591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9</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218B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90.00%</w:t>
            </w:r>
          </w:p>
        </w:tc>
      </w:tr>
      <w:tr w14:paraId="49E0F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E6E2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八、运行成本</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E6D3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3</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89FE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3</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764A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100.00%</w:t>
            </w:r>
          </w:p>
        </w:tc>
      </w:tr>
      <w:tr w14:paraId="71CF0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3747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九、加减分项</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81A7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u w:val="none"/>
                <w:lang w:val="en-US" w:eastAsia="zh-CN" w:bidi="ar"/>
              </w:rPr>
              <w:t>0</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F9DA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u w:val="none"/>
                <w:lang w:val="en-US" w:eastAsia="zh-CN" w:bidi="ar"/>
              </w:rPr>
              <w:t>0</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CE26A">
            <w:pPr>
              <w:jc w:val="center"/>
              <w:rPr>
                <w:rFonts w:hint="eastAsia" w:ascii="宋体" w:hAnsi="宋体" w:eastAsia="宋体" w:cs="宋体"/>
                <w:i w:val="0"/>
                <w:iCs w:val="0"/>
                <w:color w:val="auto"/>
                <w:sz w:val="24"/>
                <w:szCs w:val="24"/>
                <w:highlight w:val="none"/>
                <w:u w:val="none"/>
                <w:lang w:val="en-US" w:eastAsia="zh-CN"/>
              </w:rPr>
            </w:pPr>
          </w:p>
        </w:tc>
      </w:tr>
    </w:tbl>
    <w:p w14:paraId="03FF38DC">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rPr>
          <w:rFonts w:hint="eastAsia" w:ascii="仿宋_GB2312" w:eastAsia="仿宋_GB2312" w:hAnsiTheme="minorHAnsi"/>
          <w:color w:val="auto"/>
          <w:kern w:val="0"/>
          <w:sz w:val="32"/>
          <w:szCs w:val="32"/>
          <w:highlight w:val="none"/>
          <w:lang w:val="en-US" w:eastAsia="zh-CN" w:bidi="ar"/>
        </w:rPr>
      </w:pPr>
      <w:r>
        <w:rPr>
          <w:rFonts w:hint="eastAsia" w:ascii="仿宋_GB2312" w:eastAsia="仿宋_GB2312" w:hAnsiTheme="minorHAnsi"/>
          <w:color w:val="auto"/>
          <w:kern w:val="0"/>
          <w:sz w:val="32"/>
          <w:szCs w:val="32"/>
          <w:highlight w:val="none"/>
          <w:lang w:val="en-US" w:eastAsia="zh-CN" w:bidi="ar"/>
        </w:rPr>
        <w:t>经审核自评材料和进行现场评价，2023年度海头街道办基本实现了预算使用效益，但也存在预算编制不准确、采购管理不到位等问题，经综合定量指标的量化反映与评价小组的意见，评定2023年海头街道办部门整体支出绩效评价得分为84.08分，绩效等级为“良”。</w:t>
      </w:r>
    </w:p>
    <w:p w14:paraId="17041621">
      <w:pPr>
        <w:pStyle w:val="23"/>
        <w:spacing w:after="0"/>
        <w:ind w:firstLine="643" w:firstLineChars="200"/>
        <w:jc w:val="both"/>
        <w:outlineLvl w:val="2"/>
        <w:rPr>
          <w:rFonts w:ascii="楷体" w:hAnsi="楷体" w:eastAsia="楷体" w:cs="楷体"/>
          <w:b/>
          <w:bCs/>
          <w:color w:val="auto"/>
          <w:kern w:val="0"/>
          <w:sz w:val="32"/>
          <w:szCs w:val="32"/>
          <w:highlight w:val="none"/>
          <w:lang w:val="en-US" w:eastAsia="zh-CN" w:bidi="ar"/>
        </w:rPr>
      </w:pPr>
      <w:bookmarkStart w:id="54" w:name="_Toc5079"/>
      <w:bookmarkStart w:id="55" w:name="_Toc8039"/>
      <w:r>
        <w:rPr>
          <w:rFonts w:hint="eastAsia" w:ascii="楷体" w:hAnsi="楷体" w:eastAsia="楷体" w:cs="楷体"/>
          <w:b/>
          <w:bCs/>
          <w:color w:val="auto"/>
          <w:kern w:val="0"/>
          <w:sz w:val="32"/>
          <w:szCs w:val="32"/>
          <w:highlight w:val="none"/>
          <w:lang w:val="en-US" w:eastAsia="zh-CN" w:bidi="ar"/>
        </w:rPr>
        <w:t>（二）各部分绩效分析</w:t>
      </w:r>
      <w:bookmarkEnd w:id="54"/>
      <w:bookmarkEnd w:id="55"/>
    </w:p>
    <w:p w14:paraId="2564BB08">
      <w:pPr>
        <w:pStyle w:val="22"/>
        <w:ind w:left="0" w:leftChars="0" w:firstLine="643" w:firstLineChars="200"/>
        <w:outlineLvl w:val="2"/>
        <w:rPr>
          <w:rFonts w:ascii="仿宋" w:hAnsi="仿宋" w:eastAsia="仿宋" w:cs="仿宋"/>
          <w:color w:val="auto"/>
          <w:sz w:val="32"/>
          <w:szCs w:val="32"/>
          <w:highlight w:val="none"/>
        </w:rPr>
      </w:pPr>
      <w:bookmarkStart w:id="56" w:name="_Toc3460"/>
      <w:r>
        <w:rPr>
          <w:rFonts w:hint="eastAsia" w:ascii="仿宋" w:hAnsi="仿宋" w:eastAsia="仿宋" w:cs="仿宋"/>
          <w:b/>
          <w:bCs/>
          <w:color w:val="auto"/>
          <w:sz w:val="32"/>
          <w:szCs w:val="32"/>
          <w:highlight w:val="none"/>
        </w:rPr>
        <w:t>1.履职效能</w:t>
      </w:r>
    </w:p>
    <w:p w14:paraId="5BCEB253">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rPr>
          <w:rFonts w:hint="eastAsia" w:ascii="仿宋_GB2312" w:eastAsia="仿宋_GB2312" w:hAnsiTheme="minorHAnsi"/>
          <w:color w:val="auto"/>
          <w:kern w:val="0"/>
          <w:sz w:val="32"/>
          <w:szCs w:val="32"/>
          <w:highlight w:val="none"/>
          <w:lang w:val="en-US" w:eastAsia="zh-CN" w:bidi="ar"/>
        </w:rPr>
      </w:pPr>
      <w:r>
        <w:rPr>
          <w:rFonts w:hint="eastAsia" w:ascii="仿宋_GB2312" w:eastAsia="仿宋_GB2312" w:hAnsiTheme="minorHAnsi"/>
          <w:color w:val="auto"/>
          <w:kern w:val="0"/>
          <w:sz w:val="32"/>
          <w:szCs w:val="32"/>
          <w:highlight w:val="none"/>
          <w:lang w:val="en-US" w:eastAsia="zh-CN" w:bidi="ar"/>
        </w:rPr>
        <w:t>本指标主要从整体效能方面考察预算年度内整体支出绩效目标的完成情况和预算资金的支出情况，共涉及3个三级指标。包括部门整体绩效目标产出指标完成情况、部门整体绩效目标效益指标完成情况和部门预算资金支出率三个方面。指标分值50分，得分45分，得分率90%。详见分析报告。</w:t>
      </w:r>
    </w:p>
    <w:p w14:paraId="4756D434">
      <w:pPr>
        <w:pStyle w:val="22"/>
        <w:ind w:left="0" w:leftChars="0" w:firstLine="643" w:firstLineChars="200"/>
        <w:outlineLvl w:val="2"/>
        <w:rPr>
          <w:rFonts w:hint="eastAsia" w:ascii="仿宋" w:hAnsi="仿宋" w:eastAsia="仿宋" w:cs="仿宋"/>
          <w:color w:val="auto"/>
          <w:sz w:val="32"/>
          <w:szCs w:val="32"/>
          <w:highlight w:val="none"/>
          <w:lang w:eastAsia="zh-CN"/>
        </w:rPr>
      </w:pPr>
      <w:r>
        <w:rPr>
          <w:rFonts w:hint="eastAsia" w:ascii="仿宋" w:hAnsi="仿宋" w:eastAsia="仿宋" w:cs="仿宋"/>
          <w:b/>
          <w:bCs/>
          <w:color w:val="auto"/>
          <w:sz w:val="32"/>
          <w:szCs w:val="32"/>
          <w:highlight w:val="none"/>
          <w:lang w:val="en-US" w:eastAsia="zh-CN"/>
        </w:rPr>
        <w:t>2</w:t>
      </w:r>
      <w:r>
        <w:rPr>
          <w:rFonts w:hint="eastAsia" w:ascii="仿宋" w:hAnsi="仿宋" w:eastAsia="仿宋" w:cs="仿宋"/>
          <w:b/>
          <w:bCs/>
          <w:color w:val="auto"/>
          <w:sz w:val="32"/>
          <w:szCs w:val="32"/>
          <w:highlight w:val="none"/>
        </w:rPr>
        <w:t>.</w:t>
      </w:r>
      <w:bookmarkEnd w:id="56"/>
      <w:r>
        <w:rPr>
          <w:rFonts w:hint="eastAsia" w:ascii="仿宋" w:hAnsi="仿宋" w:eastAsia="仿宋" w:cs="仿宋"/>
          <w:b/>
          <w:bCs/>
          <w:color w:val="auto"/>
          <w:sz w:val="32"/>
          <w:szCs w:val="32"/>
          <w:highlight w:val="none"/>
          <w:lang w:eastAsia="zh-CN"/>
        </w:rPr>
        <w:t>管理效率</w:t>
      </w:r>
    </w:p>
    <w:p w14:paraId="0E21BC91">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rPr>
          <w:rFonts w:hint="eastAsia" w:ascii="仿宋_GB2312" w:eastAsia="仿宋_GB2312" w:hAnsiTheme="minorHAnsi"/>
          <w:color w:val="auto"/>
          <w:kern w:val="0"/>
          <w:sz w:val="32"/>
          <w:szCs w:val="32"/>
          <w:highlight w:val="none"/>
          <w:lang w:val="en-US" w:eastAsia="zh-CN" w:bidi="ar"/>
        </w:rPr>
      </w:pPr>
      <w:bookmarkStart w:id="57" w:name="_Toc4748"/>
      <w:bookmarkStart w:id="58" w:name="_Toc11669"/>
      <w:r>
        <w:rPr>
          <w:rFonts w:hint="eastAsia" w:ascii="仿宋_GB2312" w:eastAsia="仿宋_GB2312" w:hAnsiTheme="minorHAnsi"/>
          <w:color w:val="auto"/>
          <w:kern w:val="0"/>
          <w:sz w:val="32"/>
          <w:szCs w:val="32"/>
          <w:highlight w:val="none"/>
          <w:lang w:val="en-US" w:eastAsia="zh-CN" w:bidi="ar"/>
        </w:rPr>
        <w:t>本指标主要从部门管理效率方面综合考察，共涉及24个三级指标。包括预算编制、预算执行、信息公开等方面。指标分值50分，得分39.08分，得分率78.16%。详见分析报告。</w:t>
      </w:r>
    </w:p>
    <w:p w14:paraId="00AD6AFA">
      <w:pPr>
        <w:numPr>
          <w:ilvl w:val="0"/>
          <w:numId w:val="3"/>
        </w:numPr>
        <w:ind w:firstLine="640" w:firstLineChars="200"/>
        <w:outlineLvl w:val="1"/>
        <w:rPr>
          <w:rFonts w:hint="eastAsia" w:ascii="黑体" w:hAnsi="黑体" w:eastAsia="黑体" w:cs="黑体"/>
          <w:color w:val="auto"/>
          <w:kern w:val="0"/>
          <w:sz w:val="32"/>
          <w:szCs w:val="32"/>
          <w:highlight w:val="none"/>
          <w:lang w:bidi="ar"/>
        </w:rPr>
      </w:pPr>
      <w:bookmarkStart w:id="59" w:name="_Toc31961"/>
      <w:r>
        <w:rPr>
          <w:rFonts w:hint="eastAsia" w:ascii="黑体" w:hAnsi="黑体" w:eastAsia="黑体" w:cs="黑体"/>
          <w:color w:val="auto"/>
          <w:kern w:val="0"/>
          <w:sz w:val="32"/>
          <w:szCs w:val="32"/>
          <w:highlight w:val="none"/>
          <w:lang w:bidi="ar"/>
        </w:rPr>
        <w:t>主要绩效</w:t>
      </w:r>
      <w:bookmarkEnd w:id="57"/>
      <w:bookmarkEnd w:id="58"/>
      <w:bookmarkEnd w:id="59"/>
    </w:p>
    <w:p w14:paraId="69524B7C">
      <w:pPr>
        <w:numPr>
          <w:ilvl w:val="0"/>
          <w:numId w:val="4"/>
        </w:numPr>
        <w:ind w:firstLine="643" w:firstLineChars="200"/>
        <w:outlineLvl w:val="1"/>
        <w:rPr>
          <w:rFonts w:hint="eastAsia" w:ascii="楷体" w:hAnsi="楷体" w:eastAsia="楷体" w:cs="楷体"/>
          <w:b/>
          <w:bCs/>
          <w:color w:val="auto"/>
          <w:kern w:val="0"/>
          <w:sz w:val="32"/>
          <w:szCs w:val="32"/>
          <w:highlight w:val="none"/>
          <w:lang w:bidi="ar"/>
        </w:rPr>
      </w:pPr>
      <w:bookmarkStart w:id="60" w:name="_Toc9937"/>
      <w:bookmarkStart w:id="61" w:name="_Toc5672"/>
      <w:bookmarkStart w:id="62" w:name="_Toc2110"/>
      <w:bookmarkStart w:id="63" w:name="bookmark73"/>
      <w:r>
        <w:rPr>
          <w:rFonts w:hint="eastAsia" w:ascii="楷体" w:hAnsi="楷体" w:eastAsia="楷体" w:cs="楷体"/>
          <w:b/>
          <w:bCs/>
          <w:color w:val="auto"/>
          <w:kern w:val="0"/>
          <w:sz w:val="32"/>
          <w:szCs w:val="32"/>
          <w:highlight w:val="none"/>
          <w:lang w:bidi="ar"/>
        </w:rPr>
        <w:t>聚焦示范引领，推动高质量发展</w:t>
      </w:r>
    </w:p>
    <w:p w14:paraId="5E69D213">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rPr>
          <w:rFonts w:hint="eastAsia" w:ascii="仿宋_GB2312" w:eastAsia="仿宋_GB2312" w:hAnsiTheme="minorHAnsi"/>
          <w:color w:val="auto"/>
          <w:kern w:val="0"/>
          <w:sz w:val="32"/>
          <w:szCs w:val="32"/>
          <w:highlight w:val="none"/>
          <w:lang w:val="en-US" w:eastAsia="zh-CN" w:bidi="ar"/>
        </w:rPr>
      </w:pPr>
      <w:r>
        <w:rPr>
          <w:rFonts w:hint="eastAsia" w:ascii="仿宋_GB2312" w:eastAsia="仿宋_GB2312" w:hAnsiTheme="minorHAnsi"/>
          <w:color w:val="auto"/>
          <w:kern w:val="0"/>
          <w:sz w:val="32"/>
          <w:szCs w:val="32"/>
          <w:highlight w:val="none"/>
          <w:lang w:val="en-US" w:eastAsia="zh-CN" w:bidi="ar"/>
        </w:rPr>
        <w:t>一是以霞山区打造乡村振兴示范带和霞山“1+7”功能区建设为契机，创建岑擎、东纯、后坑、边坡、西厅五条特色精品村，岑擎和东纯代表霞山参加全市乡村振兴示范创建现场比学暂列全市第二名，示范带动其他村积极创建美丽宜居村庄。二是量身定制“一村一策”，推动各村差异化、专业化、特色化发展，打出各具特色的品牌。例如，东纯村积极推进农旅融合发展，建成260亩生态农业观光园，规划建设运营玉米地露营、稻鱼共生、生态鱼垂钓、菜园认种等项目；积极申报30亩点状供地项目，正在引进广东文教智谷公司打造约350亩研学基地，预计建成后村集体年收入由2022年的90万元增长至800多万元。岑擎打造海洋生物医药产业园，推进红屋山农副产品包装厂、石头岭农副食品厂等2个点状供地项目，预计建成后村集体年收入由2022年的69万元增长至200万元。</w:t>
      </w:r>
    </w:p>
    <w:p w14:paraId="5148802B">
      <w:pPr>
        <w:numPr>
          <w:ilvl w:val="0"/>
          <w:numId w:val="4"/>
        </w:numPr>
        <w:ind w:firstLine="643" w:firstLineChars="200"/>
        <w:outlineLvl w:val="1"/>
        <w:rPr>
          <w:rFonts w:hint="eastAsia" w:ascii="楷体" w:hAnsi="楷体" w:eastAsia="楷体" w:cs="楷体"/>
          <w:b/>
          <w:bCs/>
          <w:color w:val="auto"/>
          <w:kern w:val="0"/>
          <w:sz w:val="32"/>
          <w:szCs w:val="32"/>
          <w:highlight w:val="none"/>
          <w:lang w:bidi="ar"/>
        </w:rPr>
      </w:pPr>
      <w:r>
        <w:rPr>
          <w:rFonts w:hint="eastAsia" w:ascii="楷体" w:hAnsi="楷体" w:eastAsia="楷体" w:cs="楷体"/>
          <w:b/>
          <w:bCs/>
          <w:color w:val="auto"/>
          <w:kern w:val="0"/>
          <w:sz w:val="32"/>
          <w:szCs w:val="32"/>
          <w:highlight w:val="none"/>
          <w:lang w:bidi="ar"/>
        </w:rPr>
        <w:t>聚焦党建引领，加强基层党组织建设</w:t>
      </w:r>
    </w:p>
    <w:p w14:paraId="368131B4">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rPr>
          <w:rFonts w:hint="eastAsia" w:ascii="仿宋_GB2312" w:eastAsia="仿宋_GB2312" w:hAnsiTheme="minorHAnsi"/>
          <w:color w:val="auto"/>
          <w:kern w:val="0"/>
          <w:sz w:val="32"/>
          <w:szCs w:val="32"/>
          <w:highlight w:val="none"/>
          <w:lang w:val="en-US" w:eastAsia="zh-CN" w:bidi="ar"/>
        </w:rPr>
      </w:pPr>
      <w:r>
        <w:rPr>
          <w:rFonts w:hint="eastAsia" w:ascii="仿宋_GB2312" w:eastAsia="仿宋_GB2312" w:hAnsiTheme="minorHAnsi"/>
          <w:color w:val="auto"/>
          <w:kern w:val="0"/>
          <w:sz w:val="32"/>
          <w:szCs w:val="32"/>
          <w:highlight w:val="none"/>
          <w:lang w:val="en-US" w:eastAsia="zh-CN" w:bidi="ar"/>
        </w:rPr>
        <w:t>一是狠抓思想强党。召开党（总）支部书记抓基层党建述职评议会议，评议考核16名党（总）支部书记，强化履职担当意识；扎实开展村级班子届中分析工作，对村级班子84人开展考察研判，全面分析村级班子换届后运行情况，切实为街道高质量发展提供坚强的组织保证。把意识形态工作同业务工作共同推进落实，强化风险研判，及时处置舆情。二是规范组织生活，严格落实支部管理。健全“三会一课”学习指引机制，每月向下辖党组织转发“三会一课”学习要点，定期检查各支部制度贯彻落实情况。结合支部开展工作实际，每季度印发《海头街道辖党（总）支部每月党员活动主题通知》，提供党员党日活动参考主题。三是积极开展培训，提升干部工作水平。开展街道机关党员干部、村“两委”干部、“大工委”委员、“两新”党组织等全覆盖轮训，今年以来举行学习习近平总书记视察广东重要讲话精神16次，开展《习近平谈治国理政》第四卷理论宣讲活动累计12场，开展四史系列之“社会主义发展史”宣讲活动1场，支部主题党日活动12场，专题党课开展32场，观看红色影片《长津湖》《功勋》《建党伟业》。下发《习近平著作选读》等书籍共636本。组织机关、村支部书记参加学习培训班，提升干部综合能力素质。四是狠抓作风强党。开展突击检查考勤纪律2次，发出工作纪律检查通报5份，工作提示1份，节前提醒4次。严格落实“六必谈”制度，对街道和各村（社区）“六必谈”对象及时开展提醒谈话，共约谈人员5批20人次。聚焦监督执纪问责，强化问题线索管理处置，保持党的先进性和纯洁性。</w:t>
      </w:r>
    </w:p>
    <w:p w14:paraId="2C96D0D8">
      <w:pPr>
        <w:numPr>
          <w:ilvl w:val="0"/>
          <w:numId w:val="4"/>
        </w:numPr>
        <w:ind w:firstLine="643" w:firstLineChars="200"/>
        <w:outlineLvl w:val="1"/>
        <w:rPr>
          <w:rFonts w:hint="eastAsia" w:ascii="楷体" w:hAnsi="楷体" w:eastAsia="楷体" w:cs="楷体"/>
          <w:b/>
          <w:bCs/>
          <w:color w:val="auto"/>
          <w:kern w:val="0"/>
          <w:sz w:val="32"/>
          <w:szCs w:val="32"/>
          <w:highlight w:val="none"/>
          <w:lang w:bidi="ar"/>
        </w:rPr>
      </w:pPr>
      <w:r>
        <w:rPr>
          <w:rFonts w:hint="eastAsia" w:ascii="楷体" w:hAnsi="楷体" w:eastAsia="楷体" w:cs="楷体"/>
          <w:b/>
          <w:bCs/>
          <w:color w:val="auto"/>
          <w:kern w:val="0"/>
          <w:sz w:val="32"/>
          <w:szCs w:val="32"/>
          <w:highlight w:val="none"/>
          <w:lang w:bidi="ar"/>
        </w:rPr>
        <w:t>聚焦重点项目建设，助力经济高质量发展</w:t>
      </w:r>
    </w:p>
    <w:p w14:paraId="5AC7BAAB">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rPr>
          <w:rFonts w:hint="eastAsia" w:ascii="仿宋_GB2312" w:eastAsia="仿宋_GB2312" w:hAnsiTheme="minorHAnsi"/>
          <w:color w:val="auto"/>
          <w:kern w:val="0"/>
          <w:sz w:val="32"/>
          <w:szCs w:val="32"/>
          <w:highlight w:val="none"/>
          <w:lang w:val="en-US" w:eastAsia="zh-CN" w:bidi="ar"/>
        </w:rPr>
      </w:pPr>
      <w:r>
        <w:rPr>
          <w:rFonts w:hint="eastAsia" w:ascii="仿宋_GB2312" w:eastAsia="仿宋_GB2312" w:hAnsiTheme="minorHAnsi"/>
          <w:color w:val="auto"/>
          <w:kern w:val="0"/>
          <w:sz w:val="32"/>
          <w:szCs w:val="32"/>
          <w:highlight w:val="none"/>
          <w:lang w:val="en-US" w:eastAsia="zh-CN" w:bidi="ar"/>
        </w:rPr>
        <w:t>一是全面完成广湛高铁及配套工程项目征拆工作，广湛高铁项目（海头段）总用地面积共755.96亩，今年以来，我街道着力推进征拆收尾工作，其中青苗及地上附着物补偿协议签订完成率100%；完成建筑物拆除面积约30152平方米，完成率100%，保障项目全面交地建设；高铁配套“三电”迁改工程、高铁湛江北站油管迁改配套工程项目等顺利推进。二是全力保障土地收储和开发利用。智慧城三期项目湖光快线以南共47亩居住用地、5亩商业用地等地块清场、围蔽工作，保障地块顺利挂牌、出让；原地税局项目约26亩顺利挂牌、出让；东纯村垃圾处置场项目151.4853亩全面完成涉征24户村民附着物征拆收尾工作，项目建设工作顺利推进。紧密跟踪推进华港工业园扩园做地项目、万家汇增加收储60亩地块和银帆北路等项目的征拆工作，协调解决各项目存在问题，推动项目持续顺利开展。</w:t>
      </w:r>
    </w:p>
    <w:p w14:paraId="44767812">
      <w:pPr>
        <w:numPr>
          <w:ilvl w:val="0"/>
          <w:numId w:val="4"/>
        </w:numPr>
        <w:ind w:firstLine="643" w:firstLineChars="200"/>
        <w:outlineLvl w:val="1"/>
        <w:rPr>
          <w:rFonts w:hint="eastAsia" w:ascii="楷体" w:hAnsi="楷体" w:eastAsia="楷体" w:cs="楷体"/>
          <w:b/>
          <w:bCs/>
          <w:color w:val="auto"/>
          <w:kern w:val="0"/>
          <w:sz w:val="32"/>
          <w:szCs w:val="32"/>
          <w:highlight w:val="none"/>
          <w:lang w:bidi="ar"/>
        </w:rPr>
      </w:pPr>
      <w:r>
        <w:rPr>
          <w:rFonts w:hint="eastAsia" w:ascii="楷体" w:hAnsi="楷体" w:eastAsia="楷体" w:cs="楷体"/>
          <w:b/>
          <w:bCs/>
          <w:color w:val="auto"/>
          <w:kern w:val="0"/>
          <w:sz w:val="32"/>
          <w:szCs w:val="32"/>
          <w:highlight w:val="none"/>
          <w:lang w:bidi="ar"/>
        </w:rPr>
        <w:t>聚焦基础设施建设，乡村振兴成效明显</w:t>
      </w:r>
    </w:p>
    <w:p w14:paraId="19AC5665">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rPr>
          <w:rFonts w:hint="eastAsia" w:ascii="仿宋_GB2312" w:eastAsia="仿宋_GB2312" w:hAnsiTheme="minorHAnsi"/>
          <w:color w:val="auto"/>
          <w:kern w:val="0"/>
          <w:sz w:val="32"/>
          <w:szCs w:val="32"/>
          <w:highlight w:val="none"/>
          <w:lang w:val="en-US" w:eastAsia="zh-CN" w:bidi="ar"/>
        </w:rPr>
      </w:pPr>
      <w:r>
        <w:rPr>
          <w:rFonts w:hint="eastAsia" w:ascii="仿宋_GB2312" w:eastAsia="仿宋_GB2312" w:hAnsiTheme="minorHAnsi"/>
          <w:color w:val="auto"/>
          <w:kern w:val="0"/>
          <w:sz w:val="32"/>
          <w:szCs w:val="32"/>
          <w:highlight w:val="none"/>
          <w:lang w:val="en-US" w:eastAsia="zh-CN" w:bidi="ar"/>
        </w:rPr>
        <w:t>一是推进乡村振兴基础设施提升项目。市级配套驻镇帮镇扶村资金共225.6万元，安排实施项目8个，主要用于我街道农村道路建设、污水管网建设以及统筹村庄卫生长效保洁机制、“四小园”建设、“三清三拆三整治”和其他相关乡村振兴建设。二是提升高质量发展空间。全面摸排各村目前空置可利用土地类载体情况，推动村成立村企，与龙头企业、国企合作等，以多种方式盘活农村集体资产资源，实现村集体经济发展提质扩容增效。三是推进粮食生产和耕地复耕，全力保障粮食安全。2023年上级下达我街道粮食种植任务面积5400亩，压紧压实属地责任，督促各村大力开展粮食生产种植，2023年播种面积达5906.67亩，超额完成任务。积极推进撂荒耕地复耕复种工作，目前已复耕约443亩。</w:t>
      </w:r>
    </w:p>
    <w:p w14:paraId="4F8EAF6C">
      <w:pPr>
        <w:numPr>
          <w:ilvl w:val="0"/>
          <w:numId w:val="4"/>
        </w:numPr>
        <w:ind w:firstLine="643" w:firstLineChars="200"/>
        <w:outlineLvl w:val="1"/>
        <w:rPr>
          <w:rFonts w:hint="eastAsia" w:ascii="楷体" w:hAnsi="楷体" w:eastAsia="楷体" w:cs="楷体"/>
          <w:b/>
          <w:bCs/>
          <w:color w:val="auto"/>
          <w:kern w:val="0"/>
          <w:sz w:val="32"/>
          <w:szCs w:val="32"/>
          <w:highlight w:val="none"/>
          <w:lang w:bidi="ar"/>
        </w:rPr>
      </w:pPr>
      <w:r>
        <w:rPr>
          <w:rFonts w:hint="eastAsia" w:ascii="楷体" w:hAnsi="楷体" w:eastAsia="楷体" w:cs="楷体"/>
          <w:b/>
          <w:bCs/>
          <w:color w:val="auto"/>
          <w:kern w:val="0"/>
          <w:sz w:val="32"/>
          <w:szCs w:val="32"/>
          <w:highlight w:val="none"/>
          <w:lang w:bidi="ar"/>
        </w:rPr>
        <w:t>聚焦补齐管理短板，城乡面貌焕然一新</w:t>
      </w:r>
    </w:p>
    <w:p w14:paraId="00D75042">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rPr>
          <w:rFonts w:hint="eastAsia" w:ascii="仿宋_GB2312" w:eastAsia="仿宋_GB2312" w:hAnsiTheme="minorHAnsi"/>
          <w:color w:val="auto"/>
          <w:kern w:val="0"/>
          <w:sz w:val="32"/>
          <w:szCs w:val="32"/>
          <w:highlight w:val="none"/>
          <w:lang w:val="en-US" w:eastAsia="zh-CN" w:bidi="ar"/>
        </w:rPr>
      </w:pPr>
      <w:r>
        <w:rPr>
          <w:rFonts w:hint="eastAsia" w:ascii="仿宋_GB2312" w:eastAsia="仿宋_GB2312" w:hAnsiTheme="minorHAnsi"/>
          <w:color w:val="auto"/>
          <w:kern w:val="0"/>
          <w:sz w:val="32"/>
          <w:szCs w:val="32"/>
          <w:highlight w:val="none"/>
          <w:lang w:val="en-US" w:eastAsia="zh-CN" w:bidi="ar"/>
        </w:rPr>
        <w:t>一是房屋建设管理。巡查发现违法用地违法建筑案例并开展整治行动293宗，责令停工940次，出动人数达4981余人次，拆除模板或墙体、切割立柱钢筋、回填地基、拆除铁皮钢管等总面积约26662平方米，暂扣切割机、焊机、砂轮机等约98件（套）；同时对湛江大道、广湛高铁项目片区抢种抢建行为及时制止，对顶风违建分子进行强有力的打击，有效遏制违法抢建抢种行为。二是深化文明城市创建。重点整治了机场路、湖光快线、椹川大道（海头段）、乐山西路等，共计清理垃圾400余车次；新增停放区域停车位500个；新增精神文明建设宣传栏等13个；横幅宣传10余条；张贴宣传海报200余张；发放給村民一封信200余张；开展主题志愿活动60余场次；开展文明交通宣传200人次。</w:t>
      </w:r>
    </w:p>
    <w:p w14:paraId="0C721BC1">
      <w:pPr>
        <w:numPr>
          <w:ilvl w:val="0"/>
          <w:numId w:val="4"/>
        </w:numPr>
        <w:ind w:firstLine="643" w:firstLineChars="200"/>
        <w:outlineLvl w:val="1"/>
        <w:rPr>
          <w:rFonts w:hint="eastAsia" w:ascii="楷体" w:hAnsi="楷体" w:eastAsia="楷体" w:cs="楷体"/>
          <w:b/>
          <w:bCs/>
          <w:color w:val="auto"/>
          <w:kern w:val="0"/>
          <w:sz w:val="32"/>
          <w:szCs w:val="32"/>
          <w:highlight w:val="none"/>
          <w:lang w:bidi="ar"/>
        </w:rPr>
      </w:pPr>
      <w:r>
        <w:rPr>
          <w:rFonts w:hint="eastAsia" w:ascii="楷体" w:hAnsi="楷体" w:eastAsia="楷体" w:cs="楷体"/>
          <w:b/>
          <w:bCs/>
          <w:color w:val="auto"/>
          <w:kern w:val="0"/>
          <w:sz w:val="32"/>
          <w:szCs w:val="32"/>
          <w:highlight w:val="none"/>
          <w:lang w:bidi="ar"/>
        </w:rPr>
        <w:t>聚焦基层社会治理，构建共建共治新格局</w:t>
      </w:r>
    </w:p>
    <w:p w14:paraId="064E372D">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rPr>
          <w:rFonts w:hint="eastAsia" w:ascii="仿宋_GB2312" w:eastAsia="仿宋_GB2312" w:hAnsiTheme="minorHAnsi"/>
          <w:color w:val="auto"/>
          <w:kern w:val="0"/>
          <w:sz w:val="32"/>
          <w:szCs w:val="32"/>
          <w:highlight w:val="none"/>
          <w:lang w:val="en-US" w:eastAsia="zh-CN" w:bidi="ar"/>
        </w:rPr>
      </w:pPr>
      <w:r>
        <w:rPr>
          <w:rFonts w:hint="eastAsia" w:ascii="仿宋_GB2312" w:eastAsia="仿宋_GB2312" w:hAnsiTheme="minorHAnsi"/>
          <w:color w:val="auto"/>
          <w:kern w:val="0"/>
          <w:sz w:val="32"/>
          <w:szCs w:val="32"/>
          <w:highlight w:val="none"/>
          <w:lang w:val="en-US" w:eastAsia="zh-CN" w:bidi="ar"/>
        </w:rPr>
        <w:t>一是加强信访维稳。今年以来，共接待群众165批，230人次，受理群众信访件44宗，办结40宗，办结12345市民热线投诉339件；成功调解各类矛盾纠纷16件。二是深入开展“平安夜访”活动及“千警入格”问民情创平安活动。加强与检察院、派出所、司法所等部门联动，用心细致做好答疑解惑工作，已处理完成事项91件。三是抓实抓细平安建设专项工作。全力做好“春风利剑”专项工作，有效整治电动自行车充电设施管理问题，开展联合执法12次，共整治40处出租屋及小产权房，发出限期整改通知书2份。开展养老诈骗普法宣传活动13次；开展电信网络诈骗专项整治行动，突出重点整治，常态化宣传教育。截至目前，共发放近600份反电诈宣传手册。开展法律宣传进村（居）、进校园、进企业、进场所约24场次，发放各类相关普法宣传素材近1300件，LED展示宣传标语约40次，解答群众提供法律咨询约50人次。四是坚决守住安全生产防线。累计检查三小场所212家、出租屋（包括小产权房）34家，清理“三合一”场所7家；共畅通安全出口疏散通道182（处）、标识消防车通道6（处）、开设逃生窗的防盗网1（处）。五是高效推进“五经普”单位和个体户清查工作。街道组织召开了4次经济普查复盘会，4次经济普查临时党支部会议，分析研究普查工作中的难点重点，总结经验做法，共完成1239家单位和2822家个体户单位清查工作，超额完成上级交办的工作任务。</w:t>
      </w:r>
    </w:p>
    <w:p w14:paraId="556E2757">
      <w:pPr>
        <w:ind w:firstLine="640" w:firstLineChars="200"/>
        <w:outlineLvl w:val="1"/>
        <w:rPr>
          <w:rFonts w:ascii="黑体" w:hAnsi="黑体" w:eastAsia="黑体" w:cs="黑体"/>
          <w:color w:val="auto"/>
          <w:kern w:val="0"/>
          <w:sz w:val="32"/>
          <w:szCs w:val="32"/>
          <w:highlight w:val="none"/>
          <w:lang w:bidi="ar"/>
        </w:rPr>
      </w:pPr>
      <w:r>
        <w:rPr>
          <w:rFonts w:hint="eastAsia" w:ascii="黑体" w:hAnsi="黑体" w:eastAsia="黑体" w:cs="黑体"/>
          <w:color w:val="auto"/>
          <w:kern w:val="0"/>
          <w:sz w:val="32"/>
          <w:szCs w:val="32"/>
          <w:highlight w:val="none"/>
          <w:lang w:bidi="ar"/>
        </w:rPr>
        <w:t>五、存在问题</w:t>
      </w:r>
      <w:bookmarkEnd w:id="60"/>
      <w:bookmarkEnd w:id="61"/>
      <w:bookmarkEnd w:id="62"/>
    </w:p>
    <w:p w14:paraId="14A9D5E7">
      <w:pPr>
        <w:numPr>
          <w:ilvl w:val="0"/>
          <w:numId w:val="0"/>
        </w:numPr>
        <w:ind w:firstLine="643" w:firstLineChars="200"/>
        <w:outlineLvl w:val="1"/>
        <w:rPr>
          <w:rFonts w:hint="eastAsia" w:ascii="楷体" w:hAnsi="楷体" w:eastAsia="楷体" w:cs="楷体"/>
          <w:b/>
          <w:bCs/>
          <w:color w:val="auto"/>
          <w:kern w:val="0"/>
          <w:sz w:val="32"/>
          <w:szCs w:val="32"/>
          <w:highlight w:val="none"/>
          <w:lang w:val="en-US" w:eastAsia="zh-CN" w:bidi="ar"/>
        </w:rPr>
      </w:pPr>
      <w:bookmarkStart w:id="64" w:name="_Toc27513"/>
      <w:bookmarkStart w:id="65" w:name="_Toc24559"/>
      <w:bookmarkStart w:id="66" w:name="_Toc3850"/>
      <w:bookmarkStart w:id="67" w:name="_Toc10133"/>
      <w:bookmarkStart w:id="68" w:name="_Toc32450"/>
      <w:bookmarkStart w:id="69" w:name="_Toc29891"/>
      <w:bookmarkStart w:id="70" w:name="_Toc8141"/>
      <w:r>
        <w:rPr>
          <w:rFonts w:hint="eastAsia" w:ascii="楷体" w:hAnsi="楷体" w:eastAsia="楷体" w:cs="楷体"/>
          <w:b/>
          <w:bCs/>
          <w:color w:val="auto"/>
          <w:kern w:val="0"/>
          <w:sz w:val="32"/>
          <w:szCs w:val="32"/>
          <w:highlight w:val="none"/>
          <w:lang w:val="en-US" w:eastAsia="zh-CN" w:bidi="ar"/>
        </w:rPr>
        <w:t>（一）</w:t>
      </w:r>
      <w:bookmarkEnd w:id="64"/>
      <w:bookmarkEnd w:id="65"/>
      <w:bookmarkEnd w:id="66"/>
      <w:r>
        <w:rPr>
          <w:rFonts w:hint="eastAsia" w:ascii="楷体" w:hAnsi="楷体" w:eastAsia="楷体" w:cs="楷体"/>
          <w:b/>
          <w:bCs/>
          <w:color w:val="auto"/>
          <w:kern w:val="0"/>
          <w:sz w:val="32"/>
          <w:szCs w:val="32"/>
          <w:highlight w:val="none"/>
          <w:lang w:val="en-US" w:eastAsia="zh-CN" w:bidi="ar"/>
        </w:rPr>
        <w:t>采购管理存在问题</w:t>
      </w:r>
      <w:bookmarkEnd w:id="67"/>
      <w:bookmarkEnd w:id="68"/>
    </w:p>
    <w:p w14:paraId="01574789">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rPr>
          <w:rFonts w:hint="eastAsia" w:ascii="仿宋_GB2312" w:eastAsia="仿宋_GB2312" w:hAnsiTheme="minorHAnsi"/>
          <w:color w:val="auto"/>
          <w:kern w:val="0"/>
          <w:sz w:val="32"/>
          <w:szCs w:val="32"/>
          <w:highlight w:val="none"/>
          <w:lang w:val="en-US" w:eastAsia="zh-CN" w:bidi="ar"/>
        </w:rPr>
      </w:pPr>
      <w:r>
        <w:rPr>
          <w:rFonts w:hint="eastAsia" w:ascii="仿宋_GB2312" w:eastAsia="仿宋_GB2312" w:hAnsiTheme="minorHAnsi"/>
          <w:color w:val="auto"/>
          <w:kern w:val="0"/>
          <w:sz w:val="32"/>
          <w:szCs w:val="32"/>
          <w:highlight w:val="none"/>
          <w:lang w:val="en-US" w:eastAsia="zh-CN" w:bidi="ar"/>
        </w:rPr>
        <w:t>海头街道办政府采购方面与电子卖场成交供应商合同签订时未选择线上电子章签订模式完成合同签订。未全部在规定时间内按照采购文件确定的事项签订政府采购合同并进行备案。</w:t>
      </w:r>
    </w:p>
    <w:p w14:paraId="48D8FCAA">
      <w:pPr>
        <w:numPr>
          <w:ilvl w:val="0"/>
          <w:numId w:val="0"/>
        </w:numPr>
        <w:ind w:firstLine="643" w:firstLineChars="200"/>
        <w:outlineLvl w:val="1"/>
        <w:rPr>
          <w:rFonts w:hint="eastAsia" w:ascii="楷体" w:hAnsi="楷体" w:eastAsia="楷体" w:cs="楷体"/>
          <w:b/>
          <w:bCs/>
          <w:color w:val="auto"/>
          <w:kern w:val="0"/>
          <w:sz w:val="32"/>
          <w:szCs w:val="32"/>
          <w:highlight w:val="none"/>
          <w:lang w:val="en-US" w:eastAsia="zh-CN" w:bidi="ar"/>
        </w:rPr>
      </w:pPr>
      <w:r>
        <w:rPr>
          <w:rFonts w:hint="eastAsia" w:ascii="楷体" w:hAnsi="楷体" w:eastAsia="楷体" w:cs="楷体"/>
          <w:b/>
          <w:bCs/>
          <w:color w:val="auto"/>
          <w:kern w:val="0"/>
          <w:sz w:val="32"/>
          <w:szCs w:val="32"/>
          <w:highlight w:val="none"/>
          <w:lang w:val="en-US" w:eastAsia="zh-CN" w:bidi="ar"/>
        </w:rPr>
        <w:t>（二）佐证材料完整度欠缺</w:t>
      </w:r>
      <w:bookmarkEnd w:id="69"/>
      <w:bookmarkEnd w:id="70"/>
    </w:p>
    <w:p w14:paraId="7ED08053">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rPr>
          <w:rFonts w:hint="eastAsia" w:ascii="仿宋_GB2312" w:eastAsia="仿宋_GB2312" w:hAnsiTheme="minorHAnsi"/>
          <w:color w:val="auto"/>
          <w:kern w:val="0"/>
          <w:sz w:val="32"/>
          <w:szCs w:val="32"/>
          <w:highlight w:val="none"/>
          <w:lang w:val="en-US" w:eastAsia="zh-CN" w:bidi="ar"/>
        </w:rPr>
      </w:pPr>
      <w:r>
        <w:rPr>
          <w:rFonts w:hint="eastAsia" w:ascii="仿宋_GB2312" w:eastAsia="仿宋_GB2312" w:hAnsiTheme="minorHAnsi"/>
          <w:color w:val="auto"/>
          <w:kern w:val="0"/>
          <w:sz w:val="32"/>
          <w:szCs w:val="32"/>
          <w:highlight w:val="none"/>
          <w:lang w:val="en-US" w:eastAsia="zh-CN" w:bidi="ar"/>
        </w:rPr>
        <w:t>自评材料表格填写内容应齐全，不应存在缺漏或不对应的情况；自评报告的内容不够全面详实，存在补充资料的情况。</w:t>
      </w:r>
    </w:p>
    <w:p w14:paraId="19E7ABB4">
      <w:pPr>
        <w:numPr>
          <w:ilvl w:val="0"/>
          <w:numId w:val="0"/>
        </w:numPr>
        <w:ind w:firstLine="643" w:firstLineChars="200"/>
        <w:outlineLvl w:val="1"/>
        <w:rPr>
          <w:rFonts w:hint="eastAsia" w:ascii="楷体" w:hAnsi="楷体" w:eastAsia="楷体" w:cs="楷体"/>
          <w:b/>
          <w:bCs/>
          <w:color w:val="auto"/>
          <w:kern w:val="0"/>
          <w:sz w:val="32"/>
          <w:szCs w:val="32"/>
          <w:highlight w:val="none"/>
          <w:lang w:val="en-US" w:eastAsia="zh-CN" w:bidi="ar"/>
        </w:rPr>
      </w:pPr>
      <w:r>
        <w:rPr>
          <w:rFonts w:hint="eastAsia" w:ascii="楷体" w:hAnsi="楷体" w:eastAsia="楷体" w:cs="楷体"/>
          <w:b/>
          <w:bCs/>
          <w:color w:val="auto"/>
          <w:kern w:val="0"/>
          <w:sz w:val="32"/>
          <w:szCs w:val="32"/>
          <w:highlight w:val="none"/>
          <w:lang w:val="en-US" w:eastAsia="zh-CN" w:bidi="ar"/>
        </w:rPr>
        <w:t>（三）资产管理不够规范</w:t>
      </w:r>
    </w:p>
    <w:bookmarkEnd w:id="63"/>
    <w:p w14:paraId="290BAA3A">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rPr>
          <w:rFonts w:hint="eastAsia" w:ascii="仿宋_GB2312" w:eastAsia="仿宋_GB2312" w:hAnsiTheme="minorHAnsi"/>
          <w:color w:val="auto"/>
          <w:kern w:val="0"/>
          <w:sz w:val="32"/>
          <w:szCs w:val="32"/>
          <w:highlight w:val="none"/>
          <w:lang w:val="en-US" w:eastAsia="zh-CN" w:bidi="ar"/>
        </w:rPr>
      </w:pPr>
      <w:bookmarkStart w:id="71" w:name="_Toc2608"/>
      <w:bookmarkStart w:id="72" w:name="_Toc15327"/>
      <w:bookmarkStart w:id="73" w:name="_Toc734"/>
      <w:r>
        <w:rPr>
          <w:rFonts w:hint="eastAsia" w:ascii="仿宋_GB2312" w:eastAsia="仿宋_GB2312" w:hAnsiTheme="minorHAnsi"/>
          <w:color w:val="auto"/>
          <w:kern w:val="0"/>
          <w:sz w:val="32"/>
          <w:szCs w:val="32"/>
          <w:highlight w:val="none"/>
          <w:lang w:val="en-US" w:eastAsia="zh-CN" w:bidi="ar"/>
        </w:rPr>
        <w:t>做好资产管理工作对于提升行政事业单位资产管理整体水平、更好地服务与保障单位履职和事业发展具有重要意义。2023年海头街道办存在资产账与财务账不一致的问题。</w:t>
      </w:r>
    </w:p>
    <w:p w14:paraId="2D11534E">
      <w:pPr>
        <w:numPr>
          <w:ilvl w:val="0"/>
          <w:numId w:val="0"/>
        </w:numPr>
        <w:ind w:firstLine="643" w:firstLineChars="200"/>
        <w:outlineLvl w:val="1"/>
        <w:rPr>
          <w:rFonts w:hint="eastAsia" w:ascii="楷体" w:hAnsi="楷体" w:eastAsia="楷体" w:cs="楷体"/>
          <w:b/>
          <w:bCs/>
          <w:color w:val="auto"/>
          <w:kern w:val="0"/>
          <w:sz w:val="32"/>
          <w:szCs w:val="32"/>
          <w:highlight w:val="none"/>
          <w:lang w:val="en-US" w:eastAsia="zh-CN" w:bidi="ar"/>
        </w:rPr>
      </w:pPr>
      <w:r>
        <w:rPr>
          <w:rFonts w:hint="eastAsia" w:ascii="楷体" w:hAnsi="楷体" w:eastAsia="楷体" w:cs="楷体"/>
          <w:b/>
          <w:bCs/>
          <w:color w:val="auto"/>
          <w:kern w:val="0"/>
          <w:sz w:val="32"/>
          <w:szCs w:val="32"/>
          <w:highlight w:val="none"/>
          <w:lang w:val="en-US" w:eastAsia="zh-CN" w:bidi="ar"/>
        </w:rPr>
        <w:t>（四）信息公开执行不到位</w:t>
      </w:r>
    </w:p>
    <w:p w14:paraId="1AA6D7BA">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rPr>
          <w:rFonts w:hint="default" w:ascii="仿宋_GB2312" w:eastAsia="仿宋_GB2312" w:hAnsiTheme="minorHAnsi"/>
          <w:color w:val="auto"/>
          <w:kern w:val="0"/>
          <w:sz w:val="32"/>
          <w:szCs w:val="32"/>
          <w:highlight w:val="none"/>
          <w:lang w:val="en-US" w:eastAsia="zh-CN" w:bidi="ar"/>
        </w:rPr>
      </w:pPr>
      <w:r>
        <w:rPr>
          <w:rFonts w:hint="eastAsia" w:ascii="仿宋_GB2312" w:eastAsia="仿宋_GB2312" w:hAnsiTheme="minorHAnsi"/>
          <w:color w:val="auto"/>
          <w:kern w:val="0"/>
          <w:sz w:val="32"/>
          <w:szCs w:val="32"/>
          <w:highlight w:val="none"/>
          <w:lang w:val="en-US" w:eastAsia="zh-CN" w:bidi="ar"/>
        </w:rPr>
        <w:t>2023年海头街道办</w:t>
      </w:r>
      <w:r>
        <w:rPr>
          <w:rFonts w:hint="eastAsia" w:ascii="仿宋_GB2312" w:hAnsi="仿宋_GB2312" w:eastAsia="仿宋_GB2312" w:cs="仿宋_GB2312"/>
          <w:b w:val="0"/>
          <w:bCs/>
          <w:color w:val="auto"/>
          <w:sz w:val="32"/>
          <w:szCs w:val="40"/>
          <w:highlight w:val="none"/>
        </w:rPr>
        <w:t>绩效目标、绩效自评资料未按规定在单位网站公开。</w:t>
      </w:r>
    </w:p>
    <w:p w14:paraId="5C9B778D">
      <w:pPr>
        <w:ind w:firstLine="640" w:firstLineChars="200"/>
        <w:outlineLvl w:val="1"/>
        <w:rPr>
          <w:rFonts w:ascii="黑体" w:hAnsi="黑体" w:eastAsia="黑体" w:cs="黑体"/>
          <w:color w:val="auto"/>
          <w:kern w:val="0"/>
          <w:sz w:val="32"/>
          <w:szCs w:val="32"/>
          <w:highlight w:val="none"/>
          <w:lang w:bidi="ar"/>
        </w:rPr>
      </w:pPr>
      <w:r>
        <w:rPr>
          <w:rFonts w:hint="eastAsia" w:ascii="黑体" w:hAnsi="黑体" w:eastAsia="黑体" w:cs="黑体"/>
          <w:color w:val="auto"/>
          <w:kern w:val="0"/>
          <w:sz w:val="32"/>
          <w:szCs w:val="32"/>
          <w:highlight w:val="none"/>
          <w:lang w:bidi="ar"/>
        </w:rPr>
        <w:t>六、有关建议</w:t>
      </w:r>
      <w:bookmarkEnd w:id="71"/>
      <w:bookmarkEnd w:id="72"/>
      <w:bookmarkEnd w:id="73"/>
    </w:p>
    <w:p w14:paraId="0BBE5AEA">
      <w:pPr>
        <w:numPr>
          <w:ilvl w:val="0"/>
          <w:numId w:val="0"/>
        </w:numPr>
        <w:ind w:firstLine="643" w:firstLineChars="200"/>
        <w:outlineLvl w:val="1"/>
        <w:rPr>
          <w:rFonts w:hint="eastAsia" w:ascii="楷体" w:hAnsi="楷体" w:eastAsia="楷体" w:cs="楷体"/>
          <w:b/>
          <w:bCs/>
          <w:color w:val="auto"/>
          <w:kern w:val="0"/>
          <w:sz w:val="32"/>
          <w:szCs w:val="32"/>
          <w:highlight w:val="none"/>
          <w:lang w:val="en-US" w:eastAsia="zh-CN" w:bidi="ar"/>
        </w:rPr>
      </w:pPr>
      <w:bookmarkStart w:id="74" w:name="_Toc9401"/>
      <w:bookmarkStart w:id="75" w:name="_Toc8514"/>
      <w:bookmarkStart w:id="76" w:name="_Toc21596"/>
      <w:bookmarkStart w:id="77" w:name="_Toc22461"/>
      <w:bookmarkStart w:id="78" w:name="_Toc22370"/>
      <w:bookmarkStart w:id="79" w:name="_Toc17414"/>
      <w:bookmarkStart w:id="80" w:name="_Toc5390"/>
      <w:bookmarkStart w:id="81" w:name="_Toc23496"/>
      <w:r>
        <w:rPr>
          <w:rFonts w:hint="eastAsia" w:ascii="楷体" w:hAnsi="楷体" w:eastAsia="楷体" w:cs="楷体"/>
          <w:b/>
          <w:bCs/>
          <w:color w:val="auto"/>
          <w:kern w:val="0"/>
          <w:sz w:val="32"/>
          <w:szCs w:val="32"/>
          <w:highlight w:val="none"/>
          <w:lang w:val="en-US" w:eastAsia="zh-CN" w:bidi="ar"/>
        </w:rPr>
        <w:t>（一）</w:t>
      </w:r>
      <w:bookmarkEnd w:id="74"/>
      <w:bookmarkEnd w:id="75"/>
      <w:bookmarkEnd w:id="76"/>
      <w:r>
        <w:rPr>
          <w:rFonts w:hint="default" w:ascii="楷体" w:hAnsi="楷体" w:eastAsia="楷体" w:cs="楷体"/>
          <w:b/>
          <w:bCs/>
          <w:color w:val="auto"/>
          <w:kern w:val="0"/>
          <w:sz w:val="32"/>
          <w:szCs w:val="32"/>
          <w:highlight w:val="none"/>
          <w:lang w:val="en-US" w:eastAsia="zh-CN" w:bidi="ar"/>
        </w:rPr>
        <w:t>进一步规范采购工作行为，提高风险防范能力</w:t>
      </w:r>
      <w:bookmarkEnd w:id="77"/>
      <w:bookmarkEnd w:id="78"/>
    </w:p>
    <w:p w14:paraId="622D7933">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rPr>
          <w:rFonts w:hint="eastAsia" w:ascii="仿宋_GB2312" w:eastAsia="仿宋_GB2312" w:hAnsiTheme="minorHAnsi"/>
          <w:color w:val="auto"/>
          <w:kern w:val="0"/>
          <w:sz w:val="32"/>
          <w:szCs w:val="32"/>
          <w:highlight w:val="none"/>
          <w:lang w:val="en-US" w:eastAsia="zh-CN" w:bidi="ar"/>
        </w:rPr>
      </w:pPr>
      <w:r>
        <w:rPr>
          <w:rFonts w:hint="eastAsia" w:ascii="仿宋_GB2312" w:eastAsia="仿宋_GB2312" w:hAnsiTheme="minorHAnsi"/>
          <w:color w:val="auto"/>
          <w:kern w:val="0"/>
          <w:sz w:val="32"/>
          <w:szCs w:val="32"/>
          <w:highlight w:val="none"/>
          <w:lang w:val="en-US" w:eastAsia="zh-CN" w:bidi="ar"/>
        </w:rPr>
        <w:t>部门要根据最新法律法规和政策，结合自身情况，尽快补充完善采购需求管理制度、政府采购信息公开和政府采购意向公开制度，建立政府采购在岗监督、离岗审查和项目责任追溯、履约验收、结果评价、质疑和投诉快速反应、法律顾问会商、紧急采购内部审批等机制，以保障采购工作有制度可依，进一步规范采购工作行为，提高风险防范能力。</w:t>
      </w:r>
    </w:p>
    <w:p w14:paraId="37E07094">
      <w:pPr>
        <w:numPr>
          <w:ilvl w:val="0"/>
          <w:numId w:val="0"/>
        </w:numPr>
        <w:ind w:firstLine="643" w:firstLineChars="200"/>
        <w:outlineLvl w:val="1"/>
        <w:rPr>
          <w:rFonts w:hint="eastAsia" w:ascii="楷体" w:hAnsi="楷体" w:eastAsia="楷体" w:cs="楷体"/>
          <w:b/>
          <w:bCs/>
          <w:color w:val="auto"/>
          <w:kern w:val="0"/>
          <w:sz w:val="32"/>
          <w:szCs w:val="32"/>
          <w:highlight w:val="none"/>
          <w:lang w:val="en-US" w:eastAsia="zh-CN" w:bidi="ar"/>
        </w:rPr>
      </w:pPr>
      <w:r>
        <w:rPr>
          <w:rFonts w:hint="eastAsia" w:ascii="楷体" w:hAnsi="楷体" w:eastAsia="楷体" w:cs="楷体"/>
          <w:b/>
          <w:bCs/>
          <w:color w:val="auto"/>
          <w:kern w:val="0"/>
          <w:sz w:val="32"/>
          <w:szCs w:val="32"/>
          <w:highlight w:val="none"/>
          <w:lang w:val="en-US" w:eastAsia="zh-CN" w:bidi="ar"/>
        </w:rPr>
        <w:t>（二）提高自评材料报送质量</w:t>
      </w:r>
      <w:bookmarkEnd w:id="79"/>
      <w:bookmarkEnd w:id="80"/>
      <w:bookmarkEnd w:id="81"/>
    </w:p>
    <w:p w14:paraId="06677ABA">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rPr>
          <w:rFonts w:hint="eastAsia" w:ascii="仿宋_GB2312" w:eastAsia="仿宋_GB2312" w:hAnsiTheme="minorHAnsi"/>
          <w:color w:val="auto"/>
          <w:kern w:val="0"/>
          <w:sz w:val="32"/>
          <w:szCs w:val="32"/>
          <w:highlight w:val="none"/>
          <w:lang w:val="en-US" w:eastAsia="zh-CN" w:bidi="ar"/>
        </w:rPr>
      </w:pPr>
      <w:r>
        <w:rPr>
          <w:rFonts w:hint="eastAsia" w:ascii="仿宋_GB2312" w:eastAsia="仿宋_GB2312" w:hAnsiTheme="minorHAnsi"/>
          <w:color w:val="auto"/>
          <w:kern w:val="0"/>
          <w:sz w:val="32"/>
          <w:szCs w:val="32"/>
          <w:highlight w:val="none"/>
          <w:lang w:val="en-US" w:eastAsia="zh-CN" w:bidi="ar"/>
        </w:rPr>
        <w:t>在自评报告和自评表格的填制方面，应紧扣评分标准的相关要求编写，提高佐证材料与自评报告的紧密性和完整度。</w:t>
      </w:r>
    </w:p>
    <w:p w14:paraId="56AF2A68">
      <w:pPr>
        <w:numPr>
          <w:ilvl w:val="0"/>
          <w:numId w:val="0"/>
        </w:numPr>
        <w:ind w:firstLine="643" w:firstLineChars="200"/>
        <w:outlineLvl w:val="1"/>
        <w:rPr>
          <w:rFonts w:hint="eastAsia" w:ascii="楷体" w:hAnsi="楷体" w:eastAsia="楷体" w:cs="楷体"/>
          <w:b/>
          <w:bCs/>
          <w:color w:val="auto"/>
          <w:kern w:val="0"/>
          <w:sz w:val="32"/>
          <w:szCs w:val="32"/>
          <w:highlight w:val="none"/>
          <w:lang w:val="en-US" w:eastAsia="zh-CN" w:bidi="ar"/>
        </w:rPr>
      </w:pPr>
      <w:r>
        <w:rPr>
          <w:rFonts w:hint="eastAsia" w:ascii="楷体" w:hAnsi="楷体" w:eastAsia="楷体" w:cs="楷体"/>
          <w:b/>
          <w:bCs/>
          <w:color w:val="auto"/>
          <w:kern w:val="0"/>
          <w:sz w:val="32"/>
          <w:szCs w:val="32"/>
          <w:highlight w:val="none"/>
          <w:lang w:val="en-US" w:eastAsia="zh-CN" w:bidi="ar"/>
        </w:rPr>
        <w:t>（三）强化资产管理，提高资产管理安全性</w:t>
      </w:r>
    </w:p>
    <w:p w14:paraId="57C9026C">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rPr>
          <w:rFonts w:hint="eastAsia" w:ascii="仿宋_GB2312" w:eastAsia="仿宋_GB2312" w:hAnsiTheme="minorHAnsi"/>
          <w:color w:val="auto"/>
          <w:kern w:val="0"/>
          <w:sz w:val="32"/>
          <w:szCs w:val="32"/>
          <w:highlight w:val="none"/>
          <w:lang w:val="en-US" w:eastAsia="zh-CN" w:bidi="ar"/>
        </w:rPr>
      </w:pPr>
      <w:r>
        <w:rPr>
          <w:rFonts w:hint="eastAsia" w:ascii="仿宋_GB2312" w:eastAsia="仿宋_GB2312" w:hAnsiTheme="minorHAnsi"/>
          <w:color w:val="auto"/>
          <w:kern w:val="0"/>
          <w:sz w:val="32"/>
          <w:szCs w:val="32"/>
          <w:highlight w:val="none"/>
          <w:lang w:val="en-US" w:eastAsia="zh-CN" w:bidi="ar"/>
        </w:rPr>
        <w:t>按照财政部印发的《行政事业单位内部控制规范（试行）》中有关资产管理的相关规定、财政部《关于加强行政事业单位固定资产管理的通知》（财资〔2020〕97号）等相关文件，对资产实施归口管理，明确资产使用和保管责任人，落实资产使用人在资产管理中的责任。</w:t>
      </w:r>
    </w:p>
    <w:p w14:paraId="30BC82A1">
      <w:pPr>
        <w:numPr>
          <w:ilvl w:val="0"/>
          <w:numId w:val="0"/>
        </w:numPr>
        <w:ind w:firstLine="643" w:firstLineChars="200"/>
        <w:outlineLvl w:val="1"/>
        <w:rPr>
          <w:rFonts w:hint="eastAsia" w:ascii="楷体" w:hAnsi="楷体" w:eastAsia="楷体" w:cs="楷体"/>
          <w:b/>
          <w:bCs/>
          <w:color w:val="auto"/>
          <w:kern w:val="0"/>
          <w:sz w:val="32"/>
          <w:szCs w:val="32"/>
          <w:highlight w:val="none"/>
          <w:lang w:val="en-US" w:eastAsia="zh-CN" w:bidi="ar"/>
        </w:rPr>
      </w:pPr>
      <w:r>
        <w:rPr>
          <w:rFonts w:hint="eastAsia" w:ascii="楷体" w:hAnsi="楷体" w:eastAsia="楷体" w:cs="楷体"/>
          <w:b/>
          <w:bCs/>
          <w:color w:val="auto"/>
          <w:kern w:val="0"/>
          <w:sz w:val="32"/>
          <w:szCs w:val="32"/>
          <w:highlight w:val="none"/>
          <w:lang w:val="en-US" w:eastAsia="zh-CN" w:bidi="ar"/>
        </w:rPr>
        <w:t>（四）规范信息公开</w:t>
      </w:r>
    </w:p>
    <w:p w14:paraId="204A919F">
      <w:pPr>
        <w:pStyle w:val="22"/>
        <w:ind w:firstLine="640" w:firstLineChars="200"/>
        <w:rPr>
          <w:rFonts w:hint="eastAsia" w:ascii="仿宋_GB2312" w:eastAsia="仿宋_GB2312" w:cs="宋体" w:hAnsiTheme="minorHAnsi"/>
          <w:color w:val="auto"/>
          <w:kern w:val="0"/>
          <w:sz w:val="32"/>
          <w:szCs w:val="32"/>
          <w:highlight w:val="none"/>
          <w:lang w:val="en-US" w:eastAsia="zh-CN" w:bidi="ar"/>
        </w:rPr>
      </w:pPr>
      <w:r>
        <w:rPr>
          <w:rFonts w:hint="eastAsia" w:ascii="仿宋_GB2312" w:eastAsia="仿宋_GB2312" w:cs="宋体" w:hAnsiTheme="minorHAnsi"/>
          <w:color w:val="auto"/>
          <w:kern w:val="0"/>
          <w:sz w:val="32"/>
          <w:szCs w:val="32"/>
          <w:highlight w:val="none"/>
          <w:lang w:val="en-US" w:eastAsia="zh-CN" w:bidi="ar"/>
        </w:rPr>
        <w:t>根据“提升各类报表信息填报质量，杜绝错填漏填现象，规范公开的时间、要求、格式、内容以及统计口径，切实增强公开的可行性、规范性和有效性”的规定，增强财政透明度，提高预算管理信息化水平，发挥多种监督方式的协同效应，实现财政系统信息贯通，推进部门间信息互联共享。</w:t>
      </w:r>
    </w:p>
    <w:p w14:paraId="2108E9D9">
      <w:pPr>
        <w:pStyle w:val="22"/>
        <w:ind w:firstLine="0" w:firstLineChars="0"/>
        <w:rPr>
          <w:rFonts w:ascii="仿宋_GB2312" w:hAnsi="宋体" w:eastAsia="仿宋_GB2312" w:cs="宋体"/>
          <w:color w:val="auto"/>
          <w:kern w:val="0"/>
          <w:sz w:val="32"/>
          <w:szCs w:val="32"/>
          <w:highlight w:val="none"/>
          <w:lang w:bidi="ar"/>
        </w:rPr>
      </w:pPr>
    </w:p>
    <w:p w14:paraId="5C174432">
      <w:pPr>
        <w:pStyle w:val="22"/>
        <w:ind w:firstLine="0" w:firstLineChars="0"/>
        <w:rPr>
          <w:rFonts w:ascii="仿宋_GB2312" w:hAnsi="宋体" w:eastAsia="仿宋_GB2312" w:cs="宋体"/>
          <w:color w:val="auto"/>
          <w:kern w:val="0"/>
          <w:sz w:val="32"/>
          <w:szCs w:val="32"/>
          <w:highlight w:val="none"/>
          <w:lang w:bidi="ar"/>
        </w:rPr>
      </w:pPr>
    </w:p>
    <w:p w14:paraId="4BADFA29">
      <w:pPr>
        <w:pStyle w:val="22"/>
        <w:ind w:firstLine="0" w:firstLineChars="0"/>
        <w:rPr>
          <w:rFonts w:ascii="仿宋_GB2312" w:hAnsi="宋体" w:eastAsia="仿宋_GB2312" w:cs="宋体"/>
          <w:color w:val="auto"/>
          <w:kern w:val="0"/>
          <w:sz w:val="32"/>
          <w:szCs w:val="32"/>
          <w:highlight w:val="none"/>
          <w:lang w:bidi="ar"/>
        </w:rPr>
      </w:pPr>
    </w:p>
    <w:p w14:paraId="52E2CA98">
      <w:pPr>
        <w:pStyle w:val="15"/>
        <w:pageBreakBefore/>
        <w:spacing w:line="360" w:lineRule="auto"/>
        <w:ind w:left="0" w:leftChars="0"/>
        <w:rPr>
          <w:rFonts w:ascii="Times New Roman" w:hAnsi="Times New Roman" w:eastAsia="方正小标宋简体" w:cs="方正小标宋简体"/>
          <w:color w:val="auto"/>
          <w:sz w:val="44"/>
          <w:szCs w:val="44"/>
          <w:highlight w:val="none"/>
        </w:rPr>
      </w:pPr>
      <w:r>
        <w:rPr>
          <w:rFonts w:hint="eastAsia" w:ascii="Times New Roman" w:hAnsi="Times New Roman" w:eastAsia="方正小标宋简体" w:cs="仿宋_GB2312"/>
          <w:color w:val="auto"/>
          <w:sz w:val="32"/>
          <w:highlight w:val="none"/>
        </w:rPr>
        <w:t>第二部分：</w:t>
      </w:r>
      <w:bookmarkStart w:id="82" w:name="_Toc18356_WPSOffice_Level2"/>
      <w:bookmarkStart w:id="83" w:name="_Toc15077_WPSOffice_Level2"/>
      <w:bookmarkStart w:id="84" w:name="_Toc29825_WPSOffice_Level2"/>
    </w:p>
    <w:p w14:paraId="6C3C0F82">
      <w:pPr>
        <w:jc w:val="center"/>
        <w:outlineLvl w:val="1"/>
        <w:rPr>
          <w:rFonts w:eastAsia="方正小标宋简体" w:cs="方正小标宋简体"/>
          <w:color w:val="auto"/>
          <w:sz w:val="44"/>
          <w:szCs w:val="44"/>
          <w:highlight w:val="none"/>
        </w:rPr>
      </w:pPr>
      <w:bookmarkStart w:id="85" w:name="_Toc112644219"/>
      <w:bookmarkStart w:id="86" w:name="_Toc9402"/>
      <w:bookmarkStart w:id="87" w:name="_Toc29307"/>
      <w:bookmarkStart w:id="88" w:name="_Toc112643377"/>
      <w:r>
        <w:rPr>
          <w:rFonts w:hint="eastAsia" w:eastAsia="方正小标宋简体" w:cs="方正小标宋简体"/>
          <w:color w:val="auto"/>
          <w:sz w:val="44"/>
          <w:szCs w:val="44"/>
          <w:highlight w:val="none"/>
        </w:rPr>
        <w:t>分析报告</w:t>
      </w:r>
      <w:bookmarkEnd w:id="82"/>
      <w:bookmarkEnd w:id="83"/>
      <w:bookmarkEnd w:id="84"/>
      <w:bookmarkEnd w:id="85"/>
      <w:bookmarkEnd w:id="86"/>
      <w:bookmarkEnd w:id="87"/>
      <w:bookmarkEnd w:id="88"/>
    </w:p>
    <w:p w14:paraId="3E685666">
      <w:pPr>
        <w:pStyle w:val="15"/>
        <w:rPr>
          <w:rFonts w:ascii="Times New Roman" w:hAnsi="Times New Roman" w:eastAsia="等线" w:cs="Cambria Math"/>
          <w:color w:val="auto"/>
          <w:highlight w:val="none"/>
        </w:rPr>
      </w:pPr>
    </w:p>
    <w:p w14:paraId="1964D607">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rPr>
          <w:rFonts w:hint="eastAsia" w:ascii="仿宋_GB2312" w:eastAsia="仿宋_GB2312" w:hAnsiTheme="minorHAnsi"/>
          <w:color w:val="auto"/>
          <w:kern w:val="0"/>
          <w:sz w:val="32"/>
          <w:szCs w:val="32"/>
          <w:highlight w:val="none"/>
          <w:lang w:val="en-US" w:eastAsia="zh-CN" w:bidi="ar"/>
        </w:rPr>
      </w:pPr>
      <w:bookmarkStart w:id="89" w:name="_Toc3244"/>
      <w:bookmarkStart w:id="90" w:name="_Toc13367"/>
      <w:r>
        <w:rPr>
          <w:rFonts w:hint="eastAsia" w:ascii="仿宋_GB2312" w:eastAsia="仿宋_GB2312" w:hAnsiTheme="minorHAnsi"/>
          <w:color w:val="auto"/>
          <w:kern w:val="0"/>
          <w:sz w:val="32"/>
          <w:szCs w:val="32"/>
          <w:highlight w:val="none"/>
          <w:lang w:val="en-US" w:eastAsia="zh-CN" w:bidi="ar"/>
        </w:rPr>
        <w:t>为规范政府部门财政支出预算管理，强化政府部门履职效能，切实提高财政资金使用效益，湛江市霞山区财政局根据《关于开展 2023 年度财政资金线上绩效评价的通知》（湛霞财〔2024〕110 号）、《关于开展 2024 年区级部门单位整体支出和重点项目的财政重点绩效评价工作的通知》（湛霞财〔2024〕68号）要求等有关规定，委托湛江亿朗会计师事务所（普通合伙）（以下简称：评价小组），对2023年度湛江市霞山区海头街道办事处（以下简称“海头街道办”）部门整体支出实施绩效评价，形成了本绩效评价报告。</w:t>
      </w:r>
    </w:p>
    <w:p w14:paraId="57586349">
      <w:pPr>
        <w:pStyle w:val="23"/>
        <w:spacing w:after="0"/>
        <w:ind w:firstLine="640" w:firstLineChars="200"/>
        <w:jc w:val="both"/>
        <w:outlineLvl w:val="2"/>
        <w:rPr>
          <w:rFonts w:ascii="黑体" w:hAnsi="黑体" w:eastAsia="黑体" w:cs="黑体"/>
          <w:bCs/>
          <w:color w:val="auto"/>
          <w:kern w:val="0"/>
          <w:sz w:val="32"/>
          <w:szCs w:val="32"/>
          <w:highlight w:val="none"/>
          <w:lang w:val="en-US" w:eastAsia="zh-CN" w:bidi="ar"/>
        </w:rPr>
      </w:pPr>
      <w:r>
        <w:rPr>
          <w:rFonts w:hint="eastAsia" w:ascii="黑体" w:hAnsi="黑体" w:eastAsia="黑体" w:cs="黑体"/>
          <w:bCs/>
          <w:color w:val="auto"/>
          <w:sz w:val="32"/>
          <w:szCs w:val="32"/>
          <w:highlight w:val="none"/>
          <w:lang w:val="en-US" w:eastAsia="zh-CN" w:bidi="ar-SA"/>
        </w:rPr>
        <w:t>一、部门年度总体工作和重点工作任务</w:t>
      </w:r>
      <w:bookmarkEnd w:id="89"/>
      <w:bookmarkEnd w:id="90"/>
    </w:p>
    <w:p w14:paraId="398B0DA2">
      <w:pPr>
        <w:numPr>
          <w:ilvl w:val="0"/>
          <w:numId w:val="0"/>
        </w:numPr>
        <w:ind w:firstLine="643" w:firstLineChars="200"/>
        <w:outlineLvl w:val="1"/>
        <w:rPr>
          <w:rFonts w:hint="eastAsia" w:ascii="楷体" w:hAnsi="楷体" w:eastAsia="楷体" w:cs="楷体"/>
          <w:b/>
          <w:bCs/>
          <w:color w:val="auto"/>
          <w:kern w:val="0"/>
          <w:sz w:val="32"/>
          <w:szCs w:val="32"/>
          <w:highlight w:val="none"/>
          <w:lang w:val="en-US" w:eastAsia="zh-CN" w:bidi="ar"/>
        </w:rPr>
      </w:pPr>
      <w:bookmarkStart w:id="91" w:name="_Toc8237"/>
      <w:bookmarkStart w:id="92" w:name="_Toc13466"/>
      <w:r>
        <w:rPr>
          <w:rFonts w:hint="eastAsia" w:ascii="楷体" w:hAnsi="楷体" w:eastAsia="楷体" w:cs="楷体"/>
          <w:b/>
          <w:bCs/>
          <w:color w:val="auto"/>
          <w:kern w:val="0"/>
          <w:sz w:val="32"/>
          <w:szCs w:val="32"/>
          <w:highlight w:val="none"/>
          <w:lang w:val="en-US" w:eastAsia="zh-CN" w:bidi="ar"/>
        </w:rPr>
        <w:t>（一）党建引领，聚焦主责主业</w:t>
      </w:r>
    </w:p>
    <w:p w14:paraId="63C449A5">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rPr>
          <w:rFonts w:hint="eastAsia" w:ascii="仿宋_GB2312" w:eastAsia="仿宋_GB2312" w:hAnsiTheme="minorHAnsi"/>
          <w:color w:val="auto"/>
          <w:kern w:val="0"/>
          <w:sz w:val="32"/>
          <w:szCs w:val="32"/>
          <w:highlight w:val="none"/>
          <w:lang w:val="en-US" w:eastAsia="zh-CN" w:bidi="ar"/>
        </w:rPr>
      </w:pPr>
      <w:r>
        <w:rPr>
          <w:rFonts w:hint="eastAsia" w:ascii="仿宋_GB2312" w:eastAsia="仿宋_GB2312" w:hAnsiTheme="minorHAnsi"/>
          <w:color w:val="auto"/>
          <w:kern w:val="0"/>
          <w:sz w:val="32"/>
          <w:szCs w:val="32"/>
          <w:highlight w:val="none"/>
          <w:lang w:val="en-US" w:eastAsia="zh-CN" w:bidi="ar"/>
        </w:rPr>
        <w:t>一是坚持理论学习制度。坚持把理论学习作为党建工作的重要任务，深入学习习近平新时代中国特色社会主义思想、习总书记视察广东重要讲话指示精神，严格落实党组织会议“第一议题”制度，通过线上和线下学习相结合的方式，推动理论学习抓常、抓细、抓实，持续巩固“不忘初心、牢记使命”主题教育成果。二是全面实现“三个职位一肩挑”。海头党工委按照区委和上级组织部门的工作安排，攻坚克难，认真抓好落实。通过成立领导小组和工作专班，制定工作方案，做到“一村一策”，开展调查摸底，做好村干部的思想教育工作，稳定情绪，严把人选入口关，确保工作扎实推进。</w:t>
      </w:r>
    </w:p>
    <w:p w14:paraId="762253AA">
      <w:pPr>
        <w:numPr>
          <w:ilvl w:val="0"/>
          <w:numId w:val="0"/>
        </w:numPr>
        <w:ind w:firstLine="643" w:firstLineChars="200"/>
        <w:outlineLvl w:val="1"/>
        <w:rPr>
          <w:rFonts w:hint="eastAsia" w:ascii="楷体" w:hAnsi="楷体" w:eastAsia="楷体" w:cs="楷体"/>
          <w:b/>
          <w:bCs/>
          <w:color w:val="auto"/>
          <w:kern w:val="0"/>
          <w:sz w:val="32"/>
          <w:szCs w:val="32"/>
          <w:highlight w:val="none"/>
          <w:lang w:val="en-US" w:eastAsia="zh-CN" w:bidi="ar"/>
        </w:rPr>
      </w:pPr>
      <w:r>
        <w:rPr>
          <w:rFonts w:hint="eastAsia" w:ascii="楷体" w:hAnsi="楷体" w:eastAsia="楷体" w:cs="楷体"/>
          <w:b/>
          <w:bCs/>
          <w:color w:val="auto"/>
          <w:kern w:val="0"/>
          <w:sz w:val="32"/>
          <w:szCs w:val="32"/>
          <w:highlight w:val="none"/>
          <w:lang w:val="en-US" w:eastAsia="zh-CN" w:bidi="ar"/>
        </w:rPr>
        <w:t>（二）推进征迁，加速规划建设</w:t>
      </w:r>
    </w:p>
    <w:p w14:paraId="329F9014">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rPr>
          <w:rFonts w:hint="eastAsia" w:ascii="仿宋_GB2312" w:eastAsia="仿宋_GB2312" w:hAnsiTheme="minorHAnsi"/>
          <w:color w:val="auto"/>
          <w:kern w:val="0"/>
          <w:sz w:val="32"/>
          <w:szCs w:val="32"/>
          <w:highlight w:val="none"/>
          <w:lang w:val="en-US" w:eastAsia="zh-CN" w:bidi="ar"/>
        </w:rPr>
      </w:pPr>
      <w:r>
        <w:rPr>
          <w:rFonts w:hint="eastAsia" w:ascii="仿宋_GB2312" w:eastAsia="仿宋_GB2312" w:hAnsiTheme="minorHAnsi"/>
          <w:color w:val="auto"/>
          <w:kern w:val="0"/>
          <w:sz w:val="32"/>
          <w:szCs w:val="32"/>
          <w:highlight w:val="none"/>
          <w:lang w:val="en-US" w:eastAsia="zh-CN" w:bidi="ar"/>
        </w:rPr>
        <w:t>配合抽调街道征地精干人员到区土地收储与出让工作专班工作，有力推动全区土地收储和出让工作的开展，成绩得到区领导和市土储中心领导的肯定；我街道涉及湛江大道、广湛高铁项目、智慧城项目、屋山智慧城横一路等多个重点项目工程。</w:t>
      </w:r>
    </w:p>
    <w:p w14:paraId="519A4090">
      <w:pPr>
        <w:numPr>
          <w:ilvl w:val="0"/>
          <w:numId w:val="0"/>
        </w:numPr>
        <w:ind w:firstLine="643" w:firstLineChars="200"/>
        <w:outlineLvl w:val="1"/>
        <w:rPr>
          <w:rFonts w:hint="eastAsia" w:ascii="楷体" w:hAnsi="楷体" w:eastAsia="楷体" w:cs="楷体"/>
          <w:b/>
          <w:bCs/>
          <w:color w:val="auto"/>
          <w:kern w:val="0"/>
          <w:sz w:val="32"/>
          <w:szCs w:val="32"/>
          <w:highlight w:val="none"/>
          <w:lang w:val="en-US" w:eastAsia="zh-CN" w:bidi="ar"/>
        </w:rPr>
      </w:pPr>
      <w:r>
        <w:rPr>
          <w:rFonts w:hint="eastAsia" w:ascii="楷体" w:hAnsi="楷体" w:eastAsia="楷体" w:cs="楷体"/>
          <w:b/>
          <w:bCs/>
          <w:color w:val="auto"/>
          <w:kern w:val="0"/>
          <w:sz w:val="32"/>
          <w:szCs w:val="32"/>
          <w:highlight w:val="none"/>
          <w:lang w:val="en-US" w:eastAsia="zh-CN" w:bidi="ar"/>
        </w:rPr>
        <w:t>（三）再落实补齐短板，全力做好岑擎东纯示范村建设</w:t>
      </w:r>
    </w:p>
    <w:p w14:paraId="56BD1C9B">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rPr>
          <w:rFonts w:hint="eastAsia" w:ascii="仿宋_GB2312" w:eastAsia="仿宋_GB2312" w:hAnsiTheme="minorHAnsi"/>
          <w:color w:val="auto"/>
          <w:kern w:val="0"/>
          <w:sz w:val="32"/>
          <w:szCs w:val="32"/>
          <w:highlight w:val="none"/>
          <w:lang w:val="en-US" w:eastAsia="zh-CN" w:bidi="ar"/>
        </w:rPr>
      </w:pPr>
      <w:r>
        <w:rPr>
          <w:rFonts w:hint="eastAsia" w:ascii="仿宋_GB2312" w:eastAsia="仿宋_GB2312" w:hAnsiTheme="minorHAnsi"/>
          <w:color w:val="auto"/>
          <w:kern w:val="0"/>
          <w:sz w:val="32"/>
          <w:szCs w:val="32"/>
          <w:highlight w:val="none"/>
          <w:lang w:val="en-US" w:eastAsia="zh-CN" w:bidi="ar"/>
        </w:rPr>
        <w:t>每村投入资金开展道路硬底化、路灯、排水、拆危房、清垃圾等。新建垃圾屋，添置大号垃圾桶，配合区环卫处垃圾压缩运输车，推进农村垃圾“户集、村收、区统一清运”方式。充实各村村清洁队伍人员力量，落实垃圾屋管理人员，保证各村生活垃圾每天统一收集，村庄道路、场地、农户庭院及房前屋后、公厕定期清扫，美化、亮化、净化乡村。</w:t>
      </w:r>
    </w:p>
    <w:p w14:paraId="6B619B30">
      <w:pPr>
        <w:pStyle w:val="23"/>
        <w:spacing w:after="0"/>
        <w:ind w:firstLine="640" w:firstLineChars="200"/>
        <w:jc w:val="both"/>
        <w:outlineLvl w:val="2"/>
        <w:rPr>
          <w:rFonts w:ascii="黑体" w:hAnsi="黑体" w:eastAsia="黑体" w:cs="黑体"/>
          <w:bCs/>
          <w:color w:val="auto"/>
          <w:sz w:val="32"/>
          <w:szCs w:val="32"/>
          <w:highlight w:val="none"/>
          <w:lang w:val="en-US" w:eastAsia="zh-CN" w:bidi="ar-SA"/>
        </w:rPr>
      </w:pPr>
      <w:r>
        <w:rPr>
          <w:rFonts w:hint="eastAsia" w:ascii="黑体" w:hAnsi="黑体" w:eastAsia="黑体" w:cs="黑体"/>
          <w:bCs/>
          <w:color w:val="auto"/>
          <w:sz w:val="32"/>
          <w:szCs w:val="32"/>
          <w:highlight w:val="none"/>
          <w:lang w:val="en-US" w:eastAsia="zh-CN" w:bidi="ar-SA"/>
        </w:rPr>
        <w:t>二、</w:t>
      </w:r>
      <w:r>
        <w:rPr>
          <w:rFonts w:ascii="黑体" w:hAnsi="黑体" w:eastAsia="黑体" w:cs="黑体"/>
          <w:bCs/>
          <w:color w:val="auto"/>
          <w:sz w:val="32"/>
          <w:szCs w:val="32"/>
          <w:highlight w:val="none"/>
          <w:lang w:val="en-US" w:eastAsia="zh-CN" w:bidi="ar-SA"/>
        </w:rPr>
        <w:t>部门整体支出绩效目标</w:t>
      </w:r>
      <w:bookmarkEnd w:id="91"/>
      <w:bookmarkEnd w:id="92"/>
    </w:p>
    <w:p w14:paraId="6870E996">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rPr>
          <w:rFonts w:hint="eastAsia" w:ascii="仿宋_GB2312" w:eastAsia="仿宋_GB2312" w:hAnsiTheme="minorHAnsi"/>
          <w:color w:val="auto"/>
          <w:kern w:val="0"/>
          <w:sz w:val="32"/>
          <w:szCs w:val="32"/>
          <w:highlight w:val="none"/>
          <w:lang w:val="en-US" w:eastAsia="zh-CN" w:bidi="ar"/>
        </w:rPr>
      </w:pPr>
      <w:bookmarkStart w:id="93" w:name="_Toc17710"/>
      <w:bookmarkStart w:id="94" w:name="_Toc3969"/>
      <w:bookmarkStart w:id="95" w:name="_Toc9711"/>
      <w:r>
        <w:rPr>
          <w:rFonts w:hint="eastAsia" w:ascii="仿宋_GB2312" w:eastAsia="仿宋_GB2312" w:hAnsiTheme="minorHAnsi"/>
          <w:color w:val="auto"/>
          <w:kern w:val="0"/>
          <w:sz w:val="32"/>
          <w:szCs w:val="32"/>
          <w:highlight w:val="none"/>
          <w:lang w:val="en-US" w:eastAsia="zh-CN" w:bidi="ar"/>
        </w:rPr>
        <w:t>（一）辅助人员经费。保障街道正常运转的编外人员工资和生活补贴。</w:t>
      </w:r>
    </w:p>
    <w:p w14:paraId="5E0A2DEA">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rPr>
          <w:rFonts w:hint="eastAsia" w:ascii="仿宋_GB2312" w:eastAsia="仿宋_GB2312" w:hAnsiTheme="minorHAnsi"/>
          <w:color w:val="auto"/>
          <w:kern w:val="0"/>
          <w:sz w:val="32"/>
          <w:szCs w:val="32"/>
          <w:highlight w:val="none"/>
          <w:lang w:val="en-US" w:eastAsia="zh-CN" w:bidi="ar"/>
        </w:rPr>
      </w:pPr>
      <w:r>
        <w:rPr>
          <w:rFonts w:hint="eastAsia" w:ascii="仿宋_GB2312" w:eastAsia="仿宋_GB2312" w:hAnsiTheme="minorHAnsi"/>
          <w:color w:val="auto"/>
          <w:kern w:val="0"/>
          <w:sz w:val="32"/>
          <w:szCs w:val="32"/>
          <w:highlight w:val="none"/>
          <w:lang w:val="en-US" w:eastAsia="zh-CN" w:bidi="ar"/>
        </w:rPr>
        <w:t>（二）街道执法经费。进一步抓好街道辖区内村庄违建巡查及处理工作，根据上级部门要求，进一步完善制度，精心组织，周密部署，采取各种措施促进街道查处违建工作的执行。</w:t>
      </w:r>
    </w:p>
    <w:p w14:paraId="25026664">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rPr>
          <w:rFonts w:hint="eastAsia" w:ascii="仿宋_GB2312" w:eastAsia="仿宋_GB2312" w:hAnsiTheme="minorHAnsi"/>
          <w:color w:val="auto"/>
          <w:kern w:val="0"/>
          <w:sz w:val="32"/>
          <w:szCs w:val="32"/>
          <w:highlight w:val="none"/>
          <w:lang w:val="en-US" w:eastAsia="zh-CN" w:bidi="ar"/>
        </w:rPr>
      </w:pPr>
      <w:r>
        <w:rPr>
          <w:rFonts w:hint="eastAsia" w:ascii="仿宋_GB2312" w:eastAsia="仿宋_GB2312" w:hAnsiTheme="minorHAnsi"/>
          <w:color w:val="auto"/>
          <w:kern w:val="0"/>
          <w:sz w:val="32"/>
          <w:szCs w:val="32"/>
          <w:highlight w:val="none"/>
          <w:lang w:val="en-US" w:eastAsia="zh-CN" w:bidi="ar"/>
        </w:rPr>
        <w:t>（三）生活垃圾分类专项经费。对垃圾进行细化处理，提升街道各村的生活环境。</w:t>
      </w:r>
    </w:p>
    <w:p w14:paraId="4E8A9639">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rPr>
          <w:rFonts w:hint="eastAsia" w:ascii="仿宋_GB2312" w:eastAsia="仿宋_GB2312" w:hAnsiTheme="minorHAnsi"/>
          <w:color w:val="auto"/>
          <w:kern w:val="0"/>
          <w:sz w:val="32"/>
          <w:szCs w:val="32"/>
          <w:highlight w:val="none"/>
          <w:lang w:val="en-US" w:eastAsia="zh-CN" w:bidi="ar"/>
        </w:rPr>
      </w:pPr>
      <w:r>
        <w:rPr>
          <w:rFonts w:hint="eastAsia" w:ascii="仿宋_GB2312" w:eastAsia="仿宋_GB2312" w:hAnsiTheme="minorHAnsi"/>
          <w:color w:val="auto"/>
          <w:kern w:val="0"/>
          <w:sz w:val="32"/>
          <w:szCs w:val="32"/>
          <w:highlight w:val="none"/>
          <w:lang w:val="en-US" w:eastAsia="zh-CN" w:bidi="ar"/>
        </w:rPr>
        <w:t>（四）日常公用经费。保证街道日常工作正常开展。</w:t>
      </w:r>
    </w:p>
    <w:p w14:paraId="074C71A7">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rPr>
          <w:rFonts w:hint="eastAsia" w:ascii="仿宋_GB2312" w:eastAsia="仿宋_GB2312" w:hAnsiTheme="minorHAnsi"/>
          <w:color w:val="auto"/>
          <w:kern w:val="0"/>
          <w:sz w:val="32"/>
          <w:szCs w:val="32"/>
          <w:highlight w:val="none"/>
          <w:lang w:val="en-US" w:eastAsia="zh-CN" w:bidi="ar"/>
        </w:rPr>
      </w:pPr>
      <w:r>
        <w:rPr>
          <w:rFonts w:hint="eastAsia" w:ascii="仿宋_GB2312" w:eastAsia="仿宋_GB2312" w:hAnsiTheme="minorHAnsi"/>
          <w:color w:val="auto"/>
          <w:kern w:val="0"/>
          <w:sz w:val="32"/>
          <w:szCs w:val="32"/>
          <w:highlight w:val="none"/>
          <w:lang w:val="en-US" w:eastAsia="zh-CN" w:bidi="ar"/>
        </w:rPr>
        <w:t>（五）区级村（社区）办公经费补助。用于社区日常办公开支，主要涉及社区干部教育培训管理、社区水电、办公耗材、宣传相关、会议保障、各类调查等，确保村（社区）基层党组织正常运转。</w:t>
      </w:r>
    </w:p>
    <w:p w14:paraId="272B7FED">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rPr>
          <w:rFonts w:hint="eastAsia" w:ascii="仿宋_GB2312" w:eastAsia="仿宋_GB2312" w:hAnsiTheme="minorHAnsi"/>
          <w:color w:val="auto"/>
          <w:kern w:val="0"/>
          <w:sz w:val="32"/>
          <w:szCs w:val="32"/>
          <w:highlight w:val="none"/>
          <w:lang w:val="en-US" w:eastAsia="zh-CN" w:bidi="ar"/>
        </w:rPr>
      </w:pPr>
      <w:r>
        <w:rPr>
          <w:rFonts w:hint="eastAsia" w:ascii="仿宋_GB2312" w:eastAsia="仿宋_GB2312" w:hAnsiTheme="minorHAnsi"/>
          <w:color w:val="auto"/>
          <w:kern w:val="0"/>
          <w:sz w:val="32"/>
          <w:szCs w:val="32"/>
          <w:highlight w:val="none"/>
          <w:lang w:val="en-US" w:eastAsia="zh-CN" w:bidi="ar"/>
        </w:rPr>
        <w:t>（六）信访维稳经费。根据区信访办相关工作要求以及信访办日常工作开展需要，为确保辖区内和谐稳定，开展节点稳控工作，维护日常信访秩序。</w:t>
      </w:r>
    </w:p>
    <w:p w14:paraId="0E441579">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rPr>
          <w:rFonts w:hint="eastAsia" w:ascii="仿宋_GB2312" w:eastAsia="仿宋_GB2312" w:hAnsiTheme="minorHAnsi"/>
          <w:color w:val="auto"/>
          <w:kern w:val="0"/>
          <w:sz w:val="32"/>
          <w:szCs w:val="32"/>
          <w:highlight w:val="none"/>
          <w:lang w:val="en-US" w:eastAsia="zh-CN" w:bidi="ar"/>
        </w:rPr>
      </w:pPr>
      <w:r>
        <w:rPr>
          <w:rFonts w:hint="eastAsia" w:ascii="仿宋_GB2312" w:eastAsia="仿宋_GB2312" w:hAnsiTheme="minorHAnsi"/>
          <w:color w:val="auto"/>
          <w:kern w:val="0"/>
          <w:sz w:val="32"/>
          <w:szCs w:val="32"/>
          <w:highlight w:val="none"/>
          <w:lang w:val="en-US" w:eastAsia="zh-CN" w:bidi="ar"/>
        </w:rPr>
        <w:t>（七）街道开展业务工作经费。（1）保障街道日常工作开支，主要涉及计生、人大工作、档案工作、宣传相关、依法行政、工程管理、会议保障、各类调查等，更好服务辖区群众；（2）社区干部教育培训管理、及其他社区干部队伍管理工作。</w:t>
      </w:r>
    </w:p>
    <w:p w14:paraId="2DC1B0D1">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rPr>
          <w:rFonts w:hint="eastAsia" w:ascii="仿宋_GB2312" w:eastAsia="仿宋_GB2312" w:hAnsiTheme="minorHAnsi"/>
          <w:color w:val="auto"/>
          <w:kern w:val="0"/>
          <w:sz w:val="32"/>
          <w:szCs w:val="32"/>
          <w:highlight w:val="none"/>
          <w:lang w:val="en-US" w:eastAsia="zh-CN" w:bidi="ar"/>
        </w:rPr>
      </w:pPr>
      <w:r>
        <w:rPr>
          <w:rFonts w:hint="eastAsia" w:ascii="仿宋_GB2312" w:eastAsia="仿宋_GB2312" w:hAnsiTheme="minorHAnsi"/>
          <w:color w:val="auto"/>
          <w:kern w:val="0"/>
          <w:sz w:val="32"/>
          <w:szCs w:val="32"/>
          <w:highlight w:val="none"/>
          <w:lang w:val="en-US" w:eastAsia="zh-CN" w:bidi="ar"/>
        </w:rPr>
        <w:t>（八）街道党校建设经费区级配套。做好党的宣传，提升党组织正面形象，凝聚党组织。</w:t>
      </w:r>
    </w:p>
    <w:p w14:paraId="4754B12F">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rPr>
          <w:rFonts w:hint="eastAsia" w:ascii="仿宋_GB2312" w:eastAsia="仿宋_GB2312" w:hAnsiTheme="minorHAnsi"/>
          <w:color w:val="auto"/>
          <w:kern w:val="0"/>
          <w:sz w:val="32"/>
          <w:szCs w:val="32"/>
          <w:highlight w:val="none"/>
          <w:lang w:val="en-US" w:eastAsia="zh-CN" w:bidi="ar"/>
        </w:rPr>
      </w:pPr>
      <w:r>
        <w:rPr>
          <w:rFonts w:hint="eastAsia" w:ascii="仿宋_GB2312" w:eastAsia="仿宋_GB2312" w:hAnsiTheme="minorHAnsi"/>
          <w:color w:val="auto"/>
          <w:kern w:val="0"/>
          <w:sz w:val="32"/>
          <w:szCs w:val="32"/>
          <w:highlight w:val="none"/>
          <w:lang w:val="en-US" w:eastAsia="zh-CN" w:bidi="ar"/>
        </w:rPr>
        <w:t>（九）街道武装部国防教育工作经费。</w:t>
      </w:r>
    </w:p>
    <w:p w14:paraId="11BCB19A">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rPr>
          <w:rFonts w:hint="eastAsia" w:ascii="仿宋_GB2312" w:eastAsia="仿宋_GB2312" w:hAnsiTheme="minorHAnsi"/>
          <w:color w:val="auto"/>
          <w:kern w:val="0"/>
          <w:sz w:val="32"/>
          <w:szCs w:val="32"/>
          <w:highlight w:val="none"/>
          <w:lang w:val="en-US" w:eastAsia="zh-CN" w:bidi="ar"/>
        </w:rPr>
      </w:pPr>
      <w:r>
        <w:rPr>
          <w:rFonts w:hint="eastAsia" w:ascii="仿宋_GB2312" w:eastAsia="仿宋_GB2312" w:hAnsiTheme="minorHAnsi"/>
          <w:color w:val="auto"/>
          <w:kern w:val="0"/>
          <w:sz w:val="32"/>
          <w:szCs w:val="32"/>
          <w:highlight w:val="none"/>
          <w:lang w:val="en-US" w:eastAsia="zh-CN" w:bidi="ar"/>
        </w:rPr>
        <w:t>（十）街道武装部正规化建设经费。</w:t>
      </w:r>
    </w:p>
    <w:p w14:paraId="2B316A25">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rPr>
          <w:rFonts w:hint="eastAsia" w:ascii="仿宋_GB2312" w:eastAsia="仿宋_GB2312" w:hAnsiTheme="minorHAnsi"/>
          <w:color w:val="auto"/>
          <w:kern w:val="0"/>
          <w:sz w:val="32"/>
          <w:szCs w:val="32"/>
          <w:highlight w:val="none"/>
          <w:lang w:val="en-US" w:eastAsia="zh-CN" w:bidi="ar"/>
        </w:rPr>
      </w:pPr>
      <w:r>
        <w:rPr>
          <w:rFonts w:hint="eastAsia" w:ascii="仿宋_GB2312" w:eastAsia="仿宋_GB2312" w:hAnsiTheme="minorHAnsi"/>
          <w:color w:val="auto"/>
          <w:kern w:val="0"/>
          <w:sz w:val="32"/>
          <w:szCs w:val="32"/>
          <w:highlight w:val="none"/>
          <w:lang w:val="en-US" w:eastAsia="zh-CN" w:bidi="ar"/>
        </w:rPr>
        <w:t xml:space="preserve">（十一）“粤安心”心理服务工作经费。主要用于完成心理服务工作。    </w:t>
      </w:r>
    </w:p>
    <w:p w14:paraId="5F53E8D3">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rPr>
          <w:rFonts w:hint="eastAsia" w:ascii="仿宋_GB2312" w:eastAsia="仿宋_GB2312" w:hAnsiTheme="minorHAnsi"/>
          <w:color w:val="auto"/>
          <w:kern w:val="0"/>
          <w:sz w:val="32"/>
          <w:szCs w:val="32"/>
          <w:highlight w:val="none"/>
          <w:lang w:val="en-US" w:eastAsia="zh-CN" w:bidi="ar"/>
        </w:rPr>
      </w:pPr>
      <w:r>
        <w:rPr>
          <w:rFonts w:hint="eastAsia" w:ascii="仿宋_GB2312" w:eastAsia="仿宋_GB2312" w:hAnsiTheme="minorHAnsi"/>
          <w:color w:val="auto"/>
          <w:kern w:val="0"/>
          <w:sz w:val="32"/>
          <w:szCs w:val="32"/>
          <w:highlight w:val="none"/>
          <w:lang w:val="en-US" w:eastAsia="zh-CN" w:bidi="ar"/>
        </w:rPr>
        <w:t xml:space="preserve">（十二）街道退役军人服务站经费。用于做好街道退役军人服务工作。         </w:t>
      </w:r>
    </w:p>
    <w:p w14:paraId="593BE28C">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rPr>
          <w:rFonts w:hint="eastAsia" w:ascii="仿宋_GB2312" w:eastAsia="仿宋_GB2312" w:hAnsiTheme="minorHAnsi"/>
          <w:color w:val="auto"/>
          <w:kern w:val="0"/>
          <w:sz w:val="32"/>
          <w:szCs w:val="32"/>
          <w:highlight w:val="none"/>
          <w:lang w:val="en-US" w:eastAsia="zh-CN" w:bidi="ar"/>
        </w:rPr>
      </w:pPr>
      <w:r>
        <w:rPr>
          <w:rFonts w:hint="eastAsia" w:ascii="仿宋_GB2312" w:eastAsia="仿宋_GB2312" w:hAnsiTheme="minorHAnsi"/>
          <w:color w:val="auto"/>
          <w:kern w:val="0"/>
          <w:sz w:val="32"/>
          <w:szCs w:val="32"/>
          <w:highlight w:val="none"/>
          <w:lang w:val="en-US" w:eastAsia="zh-CN" w:bidi="ar"/>
        </w:rPr>
        <w:t>（十三）工会经费。维持街道工会工作顺利开展。</w:t>
      </w:r>
    </w:p>
    <w:p w14:paraId="0FB68878">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rPr>
          <w:rFonts w:hint="eastAsia" w:ascii="仿宋_GB2312" w:eastAsia="仿宋_GB2312" w:hAnsiTheme="minorHAnsi"/>
          <w:color w:val="auto"/>
          <w:kern w:val="0"/>
          <w:sz w:val="32"/>
          <w:szCs w:val="32"/>
          <w:highlight w:val="none"/>
          <w:lang w:val="en-US" w:eastAsia="zh-CN" w:bidi="ar"/>
        </w:rPr>
      </w:pPr>
      <w:r>
        <w:rPr>
          <w:rFonts w:hint="eastAsia" w:ascii="仿宋_GB2312" w:eastAsia="仿宋_GB2312" w:hAnsiTheme="minorHAnsi"/>
          <w:color w:val="auto"/>
          <w:kern w:val="0"/>
          <w:sz w:val="32"/>
          <w:szCs w:val="32"/>
          <w:highlight w:val="none"/>
          <w:lang w:val="en-US" w:eastAsia="zh-CN" w:bidi="ar"/>
        </w:rPr>
        <w:t xml:space="preserve">（十四）街道文化服务经费。做好街道辖区内各村文化宣传及三馆开放室的日常运作。        </w:t>
      </w:r>
    </w:p>
    <w:p w14:paraId="459EF236">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rPr>
          <w:rFonts w:hint="eastAsia" w:ascii="仿宋_GB2312" w:eastAsia="仿宋_GB2312" w:hAnsiTheme="minorHAnsi"/>
          <w:color w:val="auto"/>
          <w:kern w:val="0"/>
          <w:sz w:val="32"/>
          <w:szCs w:val="32"/>
          <w:highlight w:val="none"/>
          <w:lang w:val="en-US" w:eastAsia="zh-CN" w:bidi="ar"/>
        </w:rPr>
      </w:pPr>
      <w:r>
        <w:rPr>
          <w:rFonts w:hint="eastAsia" w:ascii="仿宋_GB2312" w:eastAsia="仿宋_GB2312" w:hAnsiTheme="minorHAnsi"/>
          <w:color w:val="auto"/>
          <w:kern w:val="0"/>
          <w:sz w:val="32"/>
          <w:szCs w:val="32"/>
          <w:highlight w:val="none"/>
          <w:lang w:val="en-US" w:eastAsia="zh-CN" w:bidi="ar"/>
        </w:rPr>
        <w:t>（十五）海头街道边坡村中央环保督察违建建筑（猪栏）拆除工程费用。</w:t>
      </w:r>
    </w:p>
    <w:p w14:paraId="7F19064F">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rPr>
          <w:rFonts w:hint="eastAsia" w:ascii="仿宋_GB2312" w:eastAsia="仿宋_GB2312" w:hAnsiTheme="minorHAnsi"/>
          <w:color w:val="auto"/>
          <w:kern w:val="0"/>
          <w:sz w:val="32"/>
          <w:szCs w:val="32"/>
          <w:highlight w:val="none"/>
          <w:lang w:val="en-US" w:eastAsia="zh-CN" w:bidi="ar"/>
        </w:rPr>
      </w:pPr>
      <w:r>
        <w:rPr>
          <w:rFonts w:hint="eastAsia" w:ascii="仿宋_GB2312" w:eastAsia="仿宋_GB2312" w:hAnsiTheme="minorHAnsi"/>
          <w:color w:val="auto"/>
          <w:kern w:val="0"/>
          <w:sz w:val="32"/>
          <w:szCs w:val="32"/>
          <w:highlight w:val="none"/>
          <w:lang w:val="en-US" w:eastAsia="zh-CN" w:bidi="ar"/>
        </w:rPr>
        <w:t>（十六）海头街道楼下村视频监控安装建设。</w:t>
      </w:r>
    </w:p>
    <w:p w14:paraId="386AD52B">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rPr>
          <w:rFonts w:hint="eastAsia" w:ascii="仿宋_GB2312" w:eastAsia="仿宋_GB2312" w:hAnsiTheme="minorHAnsi"/>
          <w:color w:val="auto"/>
          <w:kern w:val="0"/>
          <w:sz w:val="32"/>
          <w:szCs w:val="32"/>
          <w:highlight w:val="none"/>
          <w:lang w:val="en-US" w:eastAsia="zh-CN" w:bidi="ar"/>
        </w:rPr>
      </w:pPr>
      <w:r>
        <w:rPr>
          <w:rFonts w:hint="eastAsia" w:ascii="仿宋_GB2312" w:eastAsia="仿宋_GB2312" w:hAnsiTheme="minorHAnsi"/>
          <w:color w:val="auto"/>
          <w:kern w:val="0"/>
          <w:sz w:val="32"/>
          <w:szCs w:val="32"/>
          <w:highlight w:val="none"/>
          <w:lang w:val="en-US" w:eastAsia="zh-CN" w:bidi="ar"/>
        </w:rPr>
        <w:t>（十七）东纯村革命老区产业振兴资金。</w:t>
      </w:r>
    </w:p>
    <w:p w14:paraId="4EE2B1F6">
      <w:pPr>
        <w:pStyle w:val="23"/>
        <w:spacing w:after="0"/>
        <w:ind w:firstLine="640" w:firstLineChars="200"/>
        <w:jc w:val="both"/>
        <w:outlineLvl w:val="2"/>
        <w:rPr>
          <w:rFonts w:ascii="黑体" w:hAnsi="黑体" w:eastAsia="黑体" w:cs="黑体"/>
          <w:bCs/>
          <w:color w:val="auto"/>
          <w:sz w:val="32"/>
          <w:szCs w:val="32"/>
          <w:highlight w:val="none"/>
          <w:lang w:val="en-US" w:eastAsia="zh-CN" w:bidi="ar-SA"/>
        </w:rPr>
      </w:pPr>
      <w:r>
        <w:rPr>
          <w:rFonts w:hint="eastAsia" w:ascii="黑体" w:hAnsi="黑体" w:eastAsia="黑体" w:cs="黑体"/>
          <w:bCs/>
          <w:color w:val="auto"/>
          <w:sz w:val="32"/>
          <w:szCs w:val="32"/>
          <w:highlight w:val="none"/>
          <w:lang w:val="en-US" w:eastAsia="zh-CN" w:bidi="ar-SA"/>
        </w:rPr>
        <w:t>三、</w:t>
      </w:r>
      <w:bookmarkEnd w:id="93"/>
      <w:bookmarkEnd w:id="94"/>
      <w:bookmarkEnd w:id="95"/>
      <w:r>
        <w:rPr>
          <w:rFonts w:hint="eastAsia" w:ascii="黑体" w:hAnsi="黑体" w:eastAsia="黑体" w:cs="黑体"/>
          <w:bCs/>
          <w:color w:val="auto"/>
          <w:sz w:val="32"/>
          <w:szCs w:val="32"/>
          <w:highlight w:val="none"/>
          <w:lang w:val="en-US" w:eastAsia="zh-CN" w:bidi="ar-SA"/>
        </w:rPr>
        <w:t>绩效指标分析</w:t>
      </w:r>
    </w:p>
    <w:p w14:paraId="15D6927D">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rPr>
          <w:rFonts w:hint="default" w:ascii="仿宋_GB2312" w:eastAsia="仿宋_GB2312" w:hAnsiTheme="minorHAnsi"/>
          <w:color w:val="auto"/>
          <w:kern w:val="0"/>
          <w:sz w:val="32"/>
          <w:szCs w:val="32"/>
          <w:highlight w:val="none"/>
          <w:lang w:val="en-US" w:eastAsia="zh-CN" w:bidi="ar"/>
        </w:rPr>
      </w:pPr>
      <w:bookmarkStart w:id="96" w:name="_Toc19814"/>
      <w:bookmarkStart w:id="97" w:name="_Toc16439"/>
      <w:r>
        <w:rPr>
          <w:rFonts w:hint="eastAsia" w:ascii="仿宋_GB2312" w:eastAsia="仿宋_GB2312" w:hAnsiTheme="minorHAnsi"/>
          <w:color w:val="auto"/>
          <w:kern w:val="0"/>
          <w:sz w:val="32"/>
          <w:szCs w:val="32"/>
          <w:highlight w:val="none"/>
          <w:lang w:val="en-US" w:eastAsia="zh-CN" w:bidi="ar"/>
        </w:rPr>
        <w:t>指标体系分为2个一级指标、8个二级指标、24个三级指标，一级指标履职效能指标分值50分，得分45分，得分率90%；管理效率指标分值50分，得分39.08分，得分率78.16%。各二级指标分析如下：</w:t>
      </w:r>
      <w:bookmarkEnd w:id="96"/>
      <w:bookmarkEnd w:id="97"/>
    </w:p>
    <w:p w14:paraId="5D95BD88">
      <w:pPr>
        <w:keepNext w:val="0"/>
        <w:keepLines w:val="0"/>
        <w:pageBreakBefore w:val="0"/>
        <w:numPr>
          <w:ilvl w:val="0"/>
          <w:numId w:val="5"/>
        </w:numPr>
        <w:kinsoku/>
        <w:wordWrap/>
        <w:overflowPunct/>
        <w:topLinePunct w:val="0"/>
        <w:autoSpaceDE/>
        <w:autoSpaceDN/>
        <w:bidi w:val="0"/>
        <w:adjustRightInd/>
        <w:snapToGrid/>
        <w:spacing w:line="240" w:lineRule="auto"/>
        <w:ind w:firstLine="643" w:firstLineChars="200"/>
        <w:outlineLvl w:val="1"/>
        <w:rPr>
          <w:rFonts w:hint="eastAsia" w:ascii="楷体" w:hAnsi="楷体" w:eastAsia="楷体" w:cs="楷体"/>
          <w:b/>
          <w:bCs/>
          <w:color w:val="auto"/>
          <w:kern w:val="2"/>
          <w:sz w:val="32"/>
          <w:szCs w:val="32"/>
          <w:highlight w:val="none"/>
          <w:lang w:val="en-US" w:eastAsia="zh-CN" w:bidi="ar-SA"/>
        </w:rPr>
      </w:pPr>
      <w:bookmarkStart w:id="98" w:name="_Toc3371"/>
      <w:bookmarkStart w:id="99" w:name="_Toc22395"/>
      <w:bookmarkStart w:id="100" w:name="_Toc18432"/>
      <w:r>
        <w:rPr>
          <w:rFonts w:hint="eastAsia" w:ascii="楷体" w:hAnsi="楷体" w:eastAsia="楷体" w:cs="楷体"/>
          <w:b/>
          <w:bCs/>
          <w:color w:val="auto"/>
          <w:kern w:val="2"/>
          <w:sz w:val="32"/>
          <w:szCs w:val="32"/>
          <w:highlight w:val="none"/>
          <w:lang w:val="en-US" w:eastAsia="zh-CN" w:bidi="ar-SA"/>
        </w:rPr>
        <w:t>整体效能</w:t>
      </w:r>
      <w:bookmarkEnd w:id="98"/>
      <w:bookmarkEnd w:id="99"/>
    </w:p>
    <w:p w14:paraId="6D6959B2">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rPr>
          <w:rFonts w:hint="default" w:ascii="仿宋_GB2312" w:eastAsia="仿宋_GB2312" w:hAnsiTheme="minorHAnsi"/>
          <w:color w:val="auto"/>
          <w:kern w:val="0"/>
          <w:sz w:val="32"/>
          <w:szCs w:val="32"/>
          <w:highlight w:val="none"/>
          <w:lang w:val="en-US" w:eastAsia="zh-CN" w:bidi="ar"/>
        </w:rPr>
      </w:pPr>
      <w:bookmarkStart w:id="101" w:name="_Toc9842"/>
      <w:bookmarkStart w:id="102" w:name="_Toc21781"/>
      <w:r>
        <w:rPr>
          <w:rFonts w:hint="eastAsia" w:ascii="仿宋_GB2312" w:eastAsia="仿宋_GB2312" w:hAnsiTheme="minorHAnsi"/>
          <w:color w:val="auto"/>
          <w:kern w:val="0"/>
          <w:sz w:val="32"/>
          <w:szCs w:val="32"/>
          <w:highlight w:val="none"/>
          <w:lang w:val="en-US" w:eastAsia="zh-CN" w:bidi="ar"/>
        </w:rPr>
        <w:t>本</w:t>
      </w:r>
      <w:r>
        <w:rPr>
          <w:rFonts w:hint="default" w:ascii="仿宋_GB2312" w:eastAsia="仿宋_GB2312" w:hAnsiTheme="minorHAnsi"/>
          <w:color w:val="auto"/>
          <w:kern w:val="0"/>
          <w:sz w:val="32"/>
          <w:szCs w:val="32"/>
          <w:highlight w:val="none"/>
          <w:lang w:val="en-US" w:eastAsia="zh-CN" w:bidi="ar"/>
        </w:rPr>
        <w:t>指标主要从整体效能</w:t>
      </w:r>
      <w:r>
        <w:rPr>
          <w:rFonts w:hint="eastAsia" w:ascii="仿宋_GB2312" w:eastAsia="仿宋_GB2312" w:hAnsiTheme="minorHAnsi"/>
          <w:color w:val="auto"/>
          <w:kern w:val="0"/>
          <w:sz w:val="32"/>
          <w:szCs w:val="32"/>
          <w:highlight w:val="none"/>
          <w:lang w:val="en-US" w:eastAsia="zh-CN" w:bidi="ar"/>
        </w:rPr>
        <w:t>方面考察预算年度内整体支出绩效目标的完成情况和预算资金的支出情况，共涉及3个三级指标。</w:t>
      </w:r>
      <w:bookmarkEnd w:id="100"/>
      <w:r>
        <w:rPr>
          <w:rFonts w:hint="eastAsia" w:ascii="仿宋_GB2312" w:eastAsia="仿宋_GB2312" w:hAnsiTheme="minorHAnsi"/>
          <w:color w:val="auto"/>
          <w:kern w:val="0"/>
          <w:sz w:val="32"/>
          <w:szCs w:val="32"/>
          <w:highlight w:val="none"/>
          <w:lang w:val="en-US" w:eastAsia="zh-CN" w:bidi="ar"/>
        </w:rPr>
        <w:t>包括部门整体绩效目标产出指标完成情况、部门整体绩效目标效益指标完成情况和部门预算资金支出率三个方面。指标分值50分，得分45分，得分率90%。</w:t>
      </w:r>
      <w:bookmarkEnd w:id="101"/>
      <w:bookmarkEnd w:id="102"/>
    </w:p>
    <w:p w14:paraId="726F178F">
      <w:pPr>
        <w:pStyle w:val="5"/>
        <w:pageBreakBefore w:val="0"/>
        <w:numPr>
          <w:ilvl w:val="0"/>
          <w:numId w:val="0"/>
        </w:numPr>
        <w:kinsoku/>
        <w:wordWrap/>
        <w:overflowPunct/>
        <w:topLinePunct w:val="0"/>
        <w:autoSpaceDE/>
        <w:autoSpaceDN/>
        <w:bidi w:val="0"/>
        <w:adjustRightInd/>
        <w:snapToGrid/>
        <w:spacing w:before="0" w:after="0" w:line="240" w:lineRule="auto"/>
        <w:ind w:left="624" w:leftChars="0"/>
        <w:rPr>
          <w:rFonts w:hint="eastAsia" w:ascii="仿宋_GB2312" w:hAnsi="仿宋_GB2312" w:eastAsia="仿宋_GB2312" w:cs="仿宋_GB2312"/>
          <w:color w:val="auto"/>
          <w:highlight w:val="none"/>
        </w:rPr>
      </w:pPr>
      <w:bookmarkStart w:id="103" w:name="_Toc26821"/>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部门整体绩效目标产出指标完成情况</w:t>
      </w:r>
      <w:bookmarkEnd w:id="103"/>
    </w:p>
    <w:p w14:paraId="07E5608E">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rPr>
          <w:rFonts w:hint="eastAsia" w:ascii="仿宋_GB2312" w:eastAsia="仿宋_GB2312" w:hAnsiTheme="minorHAnsi"/>
          <w:color w:val="auto"/>
          <w:kern w:val="0"/>
          <w:sz w:val="32"/>
          <w:szCs w:val="32"/>
          <w:highlight w:val="none"/>
          <w:lang w:val="en-US" w:eastAsia="zh-CN" w:bidi="ar"/>
        </w:rPr>
      </w:pPr>
      <w:r>
        <w:rPr>
          <w:rFonts w:hint="eastAsia" w:ascii="仿宋_GB2312" w:eastAsia="仿宋_GB2312" w:hAnsiTheme="minorHAnsi"/>
          <w:color w:val="auto"/>
          <w:kern w:val="0"/>
          <w:sz w:val="32"/>
          <w:szCs w:val="32"/>
          <w:highlight w:val="none"/>
          <w:lang w:val="en-US" w:eastAsia="zh-CN" w:bidi="ar"/>
        </w:rPr>
        <w:t>本指标反映年度预算编报时确定的部门整体预算绩效目标中产出指标完成情况。指标分值为20分，得分为20分，得分率100%。2023年设置了9个产出指标，每个指标分值约占2.22分，具体完成情况如下：</w:t>
      </w:r>
    </w:p>
    <w:p w14:paraId="2A275B2E">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rPr>
          <w:rFonts w:hint="eastAsia" w:ascii="仿宋_GB2312" w:eastAsia="仿宋_GB2312" w:hAnsiTheme="minorHAnsi"/>
          <w:color w:val="auto"/>
          <w:kern w:val="0"/>
          <w:sz w:val="32"/>
          <w:szCs w:val="32"/>
          <w:highlight w:val="none"/>
          <w:lang w:val="en-US" w:eastAsia="zh-CN" w:bidi="ar"/>
        </w:rPr>
      </w:pPr>
      <w:r>
        <w:rPr>
          <w:rFonts w:hint="eastAsia" w:ascii="仿宋_GB2312" w:eastAsia="仿宋_GB2312" w:hAnsiTheme="minorHAnsi"/>
          <w:color w:val="auto"/>
          <w:kern w:val="0"/>
          <w:sz w:val="32"/>
          <w:szCs w:val="32"/>
          <w:highlight w:val="none"/>
          <w:lang w:val="en-US" w:eastAsia="zh-CN" w:bidi="ar"/>
        </w:rPr>
        <w:t>数量指标指标及指标值完成情况为：</w:t>
      </w:r>
    </w:p>
    <w:p w14:paraId="6CB8EDC9">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rPr>
          <w:rFonts w:hint="eastAsia" w:ascii="仿宋_GB2312" w:eastAsia="仿宋_GB2312" w:hAnsiTheme="minorHAnsi"/>
          <w:color w:val="auto"/>
          <w:kern w:val="0"/>
          <w:sz w:val="32"/>
          <w:szCs w:val="32"/>
          <w:highlight w:val="none"/>
          <w:lang w:val="en-US" w:eastAsia="zh-CN" w:bidi="ar"/>
        </w:rPr>
      </w:pPr>
      <w:r>
        <w:rPr>
          <w:rFonts w:hint="eastAsia" w:ascii="仿宋_GB2312" w:eastAsia="仿宋_GB2312" w:hAnsiTheme="minorHAnsi"/>
          <w:color w:val="auto"/>
          <w:kern w:val="0"/>
          <w:sz w:val="32"/>
          <w:szCs w:val="32"/>
          <w:highlight w:val="none"/>
          <w:lang w:val="en-US" w:eastAsia="zh-CN" w:bidi="ar"/>
        </w:rPr>
        <w:t>①卫生整治次数≥10次，经抽查《海头街道办持续开展“红色星期五”志愿者服务活动方案》，活动拟定时间：4月26日起每周五下午15:00-18:00在海头街道辖区，截止11月8日共开展红色星期五-环境整治志愿服务活动共26场。活动以清理辖区垃圾乱堆放、人行道、背街小巷、卫生死角等为重点整治区域。该指标完成率100%；</w:t>
      </w:r>
    </w:p>
    <w:p w14:paraId="3DDE587B">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rPr>
          <w:rFonts w:hint="eastAsia" w:ascii="仿宋_GB2312" w:eastAsia="仿宋_GB2312" w:hAnsiTheme="minorHAnsi"/>
          <w:color w:val="auto"/>
          <w:kern w:val="0"/>
          <w:sz w:val="32"/>
          <w:szCs w:val="32"/>
          <w:highlight w:val="none"/>
          <w:lang w:val="en-US" w:eastAsia="zh-CN" w:bidi="ar"/>
        </w:rPr>
      </w:pPr>
      <w:r>
        <w:rPr>
          <w:rFonts w:hint="eastAsia" w:ascii="仿宋_GB2312" w:eastAsia="仿宋_GB2312" w:hAnsiTheme="minorHAnsi"/>
          <w:color w:val="auto"/>
          <w:kern w:val="0"/>
          <w:sz w:val="32"/>
          <w:szCs w:val="32"/>
          <w:highlight w:val="none"/>
          <w:lang w:val="en-US" w:eastAsia="zh-CN" w:bidi="ar"/>
        </w:rPr>
        <w:t>②开展普法宣传活动≥5次，根据部门提供的《我为群众办实事，平安夜访送上防诈骗温馨提示——霞山公安分局联合海头街道办到岑擎村开展反诈宣讲活动》、《海头街道多形式开展“宪法宣传周”活动》等工作简报，2023年开展普法宣传活动5次，该指标完成率100%；</w:t>
      </w:r>
    </w:p>
    <w:p w14:paraId="69F97359">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rPr>
          <w:rFonts w:hint="eastAsia" w:ascii="仿宋_GB2312" w:eastAsia="仿宋_GB2312" w:hAnsiTheme="minorHAnsi"/>
          <w:color w:val="auto"/>
          <w:kern w:val="0"/>
          <w:sz w:val="32"/>
          <w:szCs w:val="32"/>
          <w:highlight w:val="none"/>
          <w:lang w:val="en-US" w:eastAsia="zh-CN" w:bidi="ar"/>
        </w:rPr>
      </w:pPr>
      <w:r>
        <w:rPr>
          <w:rFonts w:hint="eastAsia" w:ascii="仿宋_GB2312" w:eastAsia="仿宋_GB2312" w:hAnsiTheme="minorHAnsi"/>
          <w:color w:val="auto"/>
          <w:kern w:val="0"/>
          <w:sz w:val="32"/>
          <w:szCs w:val="32"/>
          <w:highlight w:val="none"/>
          <w:lang w:val="en-US" w:eastAsia="zh-CN" w:bidi="ar"/>
        </w:rPr>
        <w:t>③迎检工作台账≥5项，根据部门提供的《街道百千万工程台账目录》、《市委巡查工作台账目录》等，迎检工作台账15项，该指标完成率100%；</w:t>
      </w:r>
    </w:p>
    <w:p w14:paraId="1BAC71F4">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rPr>
          <w:rFonts w:hint="default" w:ascii="仿宋_GB2312" w:eastAsia="仿宋_GB2312" w:hAnsiTheme="minorHAnsi"/>
          <w:color w:val="auto"/>
          <w:kern w:val="0"/>
          <w:sz w:val="32"/>
          <w:szCs w:val="32"/>
          <w:highlight w:val="none"/>
          <w:lang w:val="en-US" w:eastAsia="zh-CN" w:bidi="ar"/>
        </w:rPr>
      </w:pPr>
      <w:r>
        <w:rPr>
          <w:rFonts w:hint="eastAsia" w:ascii="仿宋_GB2312" w:eastAsia="仿宋_GB2312" w:hAnsiTheme="minorHAnsi"/>
          <w:color w:val="auto"/>
          <w:kern w:val="0"/>
          <w:sz w:val="32"/>
          <w:szCs w:val="32"/>
          <w:highlight w:val="none"/>
          <w:lang w:val="en-US" w:eastAsia="zh-CN" w:bidi="ar"/>
        </w:rPr>
        <w:t>④处理信访案件≥10件，根据部门提供的《2023年信访件汇总表》记录，2023年共处理46份信访件，该指标完成率100%；</w:t>
      </w:r>
    </w:p>
    <w:p w14:paraId="39ACF478">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rPr>
          <w:rFonts w:hint="eastAsia" w:ascii="仿宋_GB2312" w:eastAsia="仿宋_GB2312" w:hAnsiTheme="minorHAnsi"/>
          <w:color w:val="auto"/>
          <w:kern w:val="0"/>
          <w:sz w:val="32"/>
          <w:szCs w:val="32"/>
          <w:highlight w:val="none"/>
          <w:lang w:val="en-US" w:eastAsia="zh-CN" w:bidi="ar"/>
        </w:rPr>
      </w:pPr>
      <w:r>
        <w:rPr>
          <w:rFonts w:hint="eastAsia" w:ascii="仿宋_GB2312" w:eastAsia="仿宋_GB2312" w:hAnsiTheme="minorHAnsi"/>
          <w:color w:val="auto"/>
          <w:kern w:val="0"/>
          <w:sz w:val="32"/>
          <w:szCs w:val="32"/>
          <w:highlight w:val="none"/>
          <w:lang w:val="en-US" w:eastAsia="zh-CN" w:bidi="ar"/>
        </w:rPr>
        <w:t>⑤专项整治次数≥10次，根据部门提供的《“两违”巡查、整治台账》，2023年开展专项整治25次，该指标完成率100%。</w:t>
      </w:r>
    </w:p>
    <w:p w14:paraId="7724BC9E">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rPr>
          <w:rFonts w:hint="eastAsia" w:ascii="仿宋_GB2312" w:eastAsia="仿宋_GB2312" w:hAnsiTheme="minorHAnsi"/>
          <w:color w:val="auto"/>
          <w:kern w:val="0"/>
          <w:sz w:val="32"/>
          <w:szCs w:val="32"/>
          <w:highlight w:val="none"/>
          <w:lang w:val="en-US" w:eastAsia="zh-CN" w:bidi="ar"/>
        </w:rPr>
      </w:pPr>
      <w:r>
        <w:rPr>
          <w:rFonts w:hint="eastAsia" w:ascii="仿宋_GB2312" w:eastAsia="仿宋_GB2312" w:hAnsiTheme="minorHAnsi"/>
          <w:color w:val="auto"/>
          <w:kern w:val="0"/>
          <w:sz w:val="32"/>
          <w:szCs w:val="32"/>
          <w:highlight w:val="none"/>
          <w:lang w:val="en-US" w:eastAsia="zh-CN" w:bidi="ar"/>
        </w:rPr>
        <w:t>质量指标指标及指标值完成情况为：</w:t>
      </w:r>
    </w:p>
    <w:p w14:paraId="3B6869F0">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rPr>
          <w:rFonts w:hint="eastAsia" w:ascii="仿宋_GB2312" w:eastAsia="仿宋_GB2312" w:hAnsiTheme="minorHAnsi"/>
          <w:color w:val="auto"/>
          <w:kern w:val="0"/>
          <w:sz w:val="32"/>
          <w:szCs w:val="32"/>
          <w:highlight w:val="none"/>
          <w:lang w:val="en-US" w:eastAsia="zh-CN" w:bidi="ar"/>
        </w:rPr>
      </w:pPr>
      <w:r>
        <w:rPr>
          <w:rFonts w:hint="eastAsia" w:ascii="仿宋_GB2312" w:eastAsia="仿宋_GB2312" w:hAnsiTheme="minorHAnsi"/>
          <w:color w:val="auto"/>
          <w:kern w:val="0"/>
          <w:sz w:val="32"/>
          <w:szCs w:val="32"/>
          <w:highlight w:val="none"/>
          <w:lang w:val="en-US" w:eastAsia="zh-CN" w:bidi="ar"/>
        </w:rPr>
        <w:t>①文化站建设完成度≥90%，②资金使用相符性100%，</w:t>
      </w:r>
    </w:p>
    <w:p w14:paraId="72D167EE">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rPr>
          <w:rFonts w:hint="default" w:ascii="仿宋_GB2312" w:eastAsia="仿宋_GB2312" w:hAnsiTheme="minorHAnsi"/>
          <w:color w:val="auto"/>
          <w:kern w:val="0"/>
          <w:sz w:val="32"/>
          <w:szCs w:val="32"/>
          <w:highlight w:val="none"/>
          <w:lang w:val="en-US" w:eastAsia="zh-CN" w:bidi="ar"/>
        </w:rPr>
      </w:pPr>
      <w:r>
        <w:rPr>
          <w:rFonts w:hint="eastAsia" w:ascii="仿宋_GB2312" w:eastAsia="仿宋_GB2312" w:hAnsiTheme="minorHAnsi"/>
          <w:color w:val="auto"/>
          <w:kern w:val="0"/>
          <w:sz w:val="32"/>
          <w:szCs w:val="32"/>
          <w:highlight w:val="none"/>
          <w:lang w:val="en-US" w:eastAsia="zh-CN" w:bidi="ar"/>
        </w:rPr>
        <w:t>③卫生整治到位率≥90%。根据部门提供的《海头街道2023年工作总结及2024年工作计划》以及相关现场图片及建设合同，项目均已开展，资金使用符合规定，质量指标均已完成。</w:t>
      </w:r>
    </w:p>
    <w:p w14:paraId="6A40361C">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rPr>
          <w:rFonts w:hint="eastAsia" w:ascii="仿宋_GB2312" w:eastAsia="仿宋_GB2312" w:hAnsiTheme="minorHAnsi"/>
          <w:color w:val="auto"/>
          <w:kern w:val="0"/>
          <w:sz w:val="32"/>
          <w:szCs w:val="32"/>
          <w:highlight w:val="none"/>
          <w:lang w:val="en-US" w:eastAsia="zh-CN" w:bidi="ar"/>
        </w:rPr>
      </w:pPr>
      <w:r>
        <w:rPr>
          <w:rFonts w:hint="eastAsia" w:ascii="仿宋_GB2312" w:eastAsia="仿宋_GB2312" w:hAnsiTheme="minorHAnsi"/>
          <w:color w:val="auto"/>
          <w:kern w:val="0"/>
          <w:sz w:val="32"/>
          <w:szCs w:val="32"/>
          <w:highlight w:val="none"/>
          <w:lang w:val="en-US" w:eastAsia="zh-CN" w:bidi="ar"/>
        </w:rPr>
        <w:t>时效指标指标及指标值完成情况为：</w:t>
      </w:r>
    </w:p>
    <w:p w14:paraId="7931627B">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rPr>
          <w:rFonts w:hint="eastAsia" w:ascii="仿宋_GB2312" w:eastAsia="仿宋_GB2312" w:hAnsiTheme="minorHAnsi"/>
          <w:color w:val="auto"/>
          <w:kern w:val="0"/>
          <w:sz w:val="32"/>
          <w:szCs w:val="32"/>
          <w:highlight w:val="none"/>
          <w:lang w:val="en-US" w:eastAsia="zh-CN" w:bidi="ar"/>
        </w:rPr>
      </w:pPr>
      <w:r>
        <w:rPr>
          <w:rFonts w:hint="eastAsia" w:ascii="仿宋_GB2312" w:eastAsia="仿宋_GB2312" w:hAnsiTheme="minorHAnsi"/>
          <w:color w:val="auto"/>
          <w:kern w:val="0"/>
          <w:sz w:val="32"/>
          <w:szCs w:val="32"/>
          <w:highlight w:val="none"/>
          <w:lang w:val="en-US" w:eastAsia="zh-CN" w:bidi="ar"/>
        </w:rPr>
        <w:t>①目标按时完成率100%，海头街道办年度重点工作任务及目标均已完成，目标完成率100%。</w:t>
      </w:r>
    </w:p>
    <w:p w14:paraId="33063AF6">
      <w:pPr>
        <w:pStyle w:val="5"/>
        <w:pageBreakBefore w:val="0"/>
        <w:numPr>
          <w:ilvl w:val="0"/>
          <w:numId w:val="0"/>
        </w:numPr>
        <w:kinsoku/>
        <w:wordWrap/>
        <w:overflowPunct/>
        <w:topLinePunct w:val="0"/>
        <w:autoSpaceDE/>
        <w:autoSpaceDN/>
        <w:bidi w:val="0"/>
        <w:adjustRightInd/>
        <w:snapToGrid/>
        <w:spacing w:before="0" w:after="0" w:line="240" w:lineRule="auto"/>
        <w:ind w:left="624" w:leftChars="0"/>
        <w:rPr>
          <w:rFonts w:hint="eastAsia" w:ascii="仿宋_GB2312" w:hAnsi="仿宋_GB2312" w:eastAsia="仿宋_GB2312" w:cs="仿宋_GB2312"/>
          <w:color w:val="auto"/>
          <w:highlight w:val="none"/>
        </w:rPr>
      </w:pPr>
      <w:bookmarkStart w:id="104" w:name="_Toc17451"/>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rPr>
        <w:t>部门整体绩效目标效益指标完成情况</w:t>
      </w:r>
      <w:bookmarkEnd w:id="104"/>
    </w:p>
    <w:p w14:paraId="47ED89FF">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rPr>
          <w:rFonts w:hint="eastAsia" w:ascii="仿宋_GB2312" w:eastAsia="仿宋_GB2312" w:hAnsiTheme="minorHAnsi"/>
          <w:color w:val="auto"/>
          <w:kern w:val="0"/>
          <w:sz w:val="32"/>
          <w:szCs w:val="32"/>
          <w:highlight w:val="none"/>
          <w:lang w:val="en-US" w:eastAsia="zh-CN" w:bidi="ar"/>
        </w:rPr>
      </w:pPr>
      <w:r>
        <w:rPr>
          <w:rFonts w:hint="eastAsia" w:ascii="仿宋_GB2312" w:eastAsia="仿宋_GB2312" w:hAnsiTheme="minorHAnsi"/>
          <w:color w:val="auto"/>
          <w:kern w:val="0"/>
          <w:sz w:val="32"/>
          <w:szCs w:val="32"/>
          <w:highlight w:val="none"/>
          <w:lang w:val="en-US" w:eastAsia="zh-CN" w:bidi="ar"/>
        </w:rPr>
        <w:t>本指标反映年度预算编报时确定的部门预算整体绩效目标中效益指标完成情况。指标分值为20分，每个指标分值约占10分，得分为17分，得分率85%。2023年设置了2项效益指标，具体完成情况如下：</w:t>
      </w:r>
    </w:p>
    <w:p w14:paraId="1D363D62">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rPr>
          <w:rFonts w:hint="eastAsia" w:ascii="仿宋_GB2312" w:eastAsia="仿宋_GB2312" w:hAnsiTheme="minorHAnsi"/>
          <w:color w:val="auto"/>
          <w:kern w:val="0"/>
          <w:sz w:val="32"/>
          <w:szCs w:val="32"/>
          <w:highlight w:val="none"/>
          <w:lang w:val="en-US" w:eastAsia="zh-CN" w:bidi="ar"/>
        </w:rPr>
      </w:pPr>
      <w:r>
        <w:rPr>
          <w:rFonts w:hint="eastAsia" w:ascii="仿宋_GB2312" w:eastAsia="仿宋_GB2312" w:hAnsiTheme="minorHAnsi"/>
          <w:color w:val="auto"/>
          <w:kern w:val="0"/>
          <w:sz w:val="32"/>
          <w:szCs w:val="32"/>
          <w:highlight w:val="none"/>
          <w:lang w:val="en-US" w:eastAsia="zh-CN" w:bidi="ar"/>
        </w:rPr>
        <w:t>（1）社会效益指标。指标及指标值完成情况为：保障辖区和谐发展≥95%。指标为定性指标，采取评级方式评分，根据海头街道办反馈年度工作计划、工作总结及相关材料，年度重点工作任务及目标均已完成，但未能使用可衡量指标，综合指标完成情况评级为良，本指标得分=10*85%=8.5分。</w:t>
      </w:r>
    </w:p>
    <w:p w14:paraId="423F8DC6">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rPr>
          <w:rFonts w:hint="eastAsia" w:ascii="仿宋_GB2312" w:eastAsia="仿宋_GB2312" w:hAnsiTheme="minorHAnsi"/>
          <w:color w:val="auto"/>
          <w:kern w:val="0"/>
          <w:sz w:val="32"/>
          <w:szCs w:val="32"/>
          <w:highlight w:val="none"/>
          <w:lang w:val="en-US" w:eastAsia="zh-CN" w:bidi="ar"/>
        </w:rPr>
      </w:pPr>
      <w:r>
        <w:rPr>
          <w:rFonts w:hint="eastAsia" w:ascii="仿宋_GB2312" w:eastAsia="仿宋_GB2312" w:hAnsiTheme="minorHAnsi"/>
          <w:color w:val="auto"/>
          <w:kern w:val="0"/>
          <w:sz w:val="32"/>
          <w:szCs w:val="32"/>
          <w:highlight w:val="none"/>
          <w:lang w:val="en-US" w:eastAsia="zh-CN" w:bidi="ar"/>
        </w:rPr>
        <w:t>（2）可持续影响指标。指标及指标值为：可持续影响数年以上，促进社会和谐发展100%。指标为定性指标，采取评级方式评分，根据海头街道办反馈年度工作计划、工作总结及相关材料，年度重点工作任务及目标均已完成，但未能使用可衡量指标，综合指标完成情况评级为良，本指标得分=10*85%=8.5分。</w:t>
      </w:r>
    </w:p>
    <w:p w14:paraId="15DD11CA">
      <w:pPr>
        <w:pStyle w:val="5"/>
        <w:pageBreakBefore w:val="0"/>
        <w:numPr>
          <w:ilvl w:val="0"/>
          <w:numId w:val="0"/>
        </w:numPr>
        <w:kinsoku/>
        <w:wordWrap/>
        <w:overflowPunct/>
        <w:topLinePunct w:val="0"/>
        <w:autoSpaceDE/>
        <w:autoSpaceDN/>
        <w:bidi w:val="0"/>
        <w:adjustRightInd/>
        <w:snapToGrid/>
        <w:spacing w:before="0" w:after="0" w:line="240" w:lineRule="auto"/>
        <w:ind w:left="624" w:leftChars="0"/>
        <w:rPr>
          <w:rFonts w:hint="eastAsia" w:ascii="仿宋_GB2312" w:hAnsi="仿宋_GB2312" w:eastAsia="仿宋_GB2312" w:cs="仿宋_GB2312"/>
          <w:color w:val="auto"/>
          <w:highlight w:val="none"/>
        </w:rPr>
      </w:pPr>
      <w:bookmarkStart w:id="105" w:name="_Toc31432"/>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rPr>
        <w:t>部门预算资金支出率</w:t>
      </w:r>
      <w:bookmarkEnd w:id="105"/>
    </w:p>
    <w:p w14:paraId="4ACE6D92">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rPr>
          <w:rFonts w:hint="eastAsia" w:ascii="仿宋_GB2312" w:eastAsia="仿宋_GB2312" w:hAnsiTheme="minorHAnsi"/>
          <w:color w:val="auto"/>
          <w:kern w:val="0"/>
          <w:sz w:val="32"/>
          <w:szCs w:val="32"/>
          <w:highlight w:val="none"/>
          <w:lang w:val="en-US" w:eastAsia="zh-CN" w:bidi="ar"/>
        </w:rPr>
      </w:pPr>
      <w:bookmarkStart w:id="106" w:name="_Toc20670"/>
      <w:bookmarkStart w:id="107" w:name="_Toc32522"/>
      <w:bookmarkStart w:id="108" w:name="_Toc6129"/>
      <w:r>
        <w:rPr>
          <w:rFonts w:hint="eastAsia" w:ascii="仿宋_GB2312" w:eastAsia="仿宋_GB2312" w:hAnsiTheme="minorHAnsi"/>
          <w:color w:val="auto"/>
          <w:kern w:val="0"/>
          <w:sz w:val="32"/>
          <w:szCs w:val="32"/>
          <w:highlight w:val="none"/>
          <w:lang w:val="en-US" w:eastAsia="zh-CN" w:bidi="ar"/>
        </w:rPr>
        <w:t>本指标反映和考核部门(单位）预算支出完成程度。指标分值10分，得分8分，得分率80%。根据自评材料，部门(单位）年度实际支出为1,179.95万元，财政下达预算数1,392.80元（全年预算数1,363.98万元、年初结转和结余数28.82万元），预算资金支出率=部门(单位）年度实际支出/财政下达预算数×100%=1179.95万元/（1363.98+28.82）万元×100%=84.72%，90%＞结果≥80%，本指标得8分。</w:t>
      </w:r>
      <w:bookmarkEnd w:id="106"/>
      <w:bookmarkEnd w:id="107"/>
      <w:bookmarkEnd w:id="108"/>
    </w:p>
    <w:p w14:paraId="18170F2D">
      <w:pPr>
        <w:pStyle w:val="5"/>
        <w:pageBreakBefore w:val="0"/>
        <w:numPr>
          <w:ilvl w:val="0"/>
          <w:numId w:val="0"/>
        </w:numPr>
        <w:kinsoku/>
        <w:wordWrap/>
        <w:overflowPunct/>
        <w:topLinePunct w:val="0"/>
        <w:autoSpaceDE/>
        <w:autoSpaceDN/>
        <w:bidi w:val="0"/>
        <w:adjustRightInd/>
        <w:snapToGrid/>
        <w:spacing w:before="0" w:after="0" w:line="240" w:lineRule="auto"/>
        <w:ind w:left="624" w:leftChars="0"/>
        <w:outlineLvl w:val="1"/>
        <w:rPr>
          <w:rFonts w:hint="eastAsia" w:ascii="楷体" w:hAnsi="楷体" w:eastAsia="楷体" w:cs="楷体"/>
          <w:color w:val="auto"/>
          <w:highlight w:val="none"/>
        </w:rPr>
      </w:pPr>
      <w:bookmarkStart w:id="109" w:name="_Toc15719"/>
      <w:bookmarkStart w:id="110" w:name="_Toc27432"/>
      <w:bookmarkStart w:id="111" w:name="_Toc11167"/>
      <w:r>
        <w:rPr>
          <w:rFonts w:hint="eastAsia" w:ascii="楷体" w:hAnsi="楷体" w:eastAsia="楷体" w:cs="楷体"/>
          <w:color w:val="auto"/>
          <w:highlight w:val="none"/>
          <w:lang w:eastAsia="zh-CN"/>
        </w:rPr>
        <w:t>（</w:t>
      </w:r>
      <w:r>
        <w:rPr>
          <w:rFonts w:hint="eastAsia" w:ascii="楷体" w:hAnsi="楷体" w:eastAsia="楷体" w:cs="楷体"/>
          <w:color w:val="auto"/>
          <w:highlight w:val="none"/>
          <w:lang w:val="en-US" w:eastAsia="zh-CN"/>
        </w:rPr>
        <w:t>二</w:t>
      </w:r>
      <w:r>
        <w:rPr>
          <w:rFonts w:hint="eastAsia" w:ascii="楷体" w:hAnsi="楷体" w:eastAsia="楷体" w:cs="楷体"/>
          <w:color w:val="auto"/>
          <w:highlight w:val="none"/>
          <w:lang w:eastAsia="zh-CN"/>
        </w:rPr>
        <w:t>）</w:t>
      </w:r>
      <w:r>
        <w:rPr>
          <w:rFonts w:hint="eastAsia" w:ascii="楷体" w:hAnsi="楷体" w:eastAsia="楷体" w:cs="楷体"/>
          <w:color w:val="auto"/>
          <w:highlight w:val="none"/>
        </w:rPr>
        <w:t>预算编制</w:t>
      </w:r>
      <w:bookmarkEnd w:id="109"/>
      <w:bookmarkEnd w:id="110"/>
      <w:bookmarkEnd w:id="111"/>
    </w:p>
    <w:p w14:paraId="38DC622B">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rPr>
          <w:rFonts w:hint="default" w:ascii="仿宋_GB2312" w:eastAsia="仿宋_GB2312" w:hAnsiTheme="minorHAnsi"/>
          <w:color w:val="auto"/>
          <w:kern w:val="0"/>
          <w:sz w:val="32"/>
          <w:szCs w:val="32"/>
          <w:highlight w:val="none"/>
          <w:lang w:val="en-US" w:eastAsia="zh-CN" w:bidi="ar"/>
        </w:rPr>
      </w:pPr>
      <w:r>
        <w:rPr>
          <w:rFonts w:hint="eastAsia" w:ascii="仿宋_GB2312" w:eastAsia="仿宋_GB2312" w:hAnsiTheme="minorHAnsi"/>
          <w:color w:val="auto"/>
          <w:kern w:val="0"/>
          <w:sz w:val="32"/>
          <w:szCs w:val="32"/>
          <w:highlight w:val="none"/>
          <w:lang w:val="en-US" w:eastAsia="zh-CN" w:bidi="ar"/>
        </w:rPr>
        <w:t>本指标由新增项目事前绩效评估组成。指标分值2分，得分0分。</w:t>
      </w:r>
    </w:p>
    <w:p w14:paraId="60924831">
      <w:pPr>
        <w:pageBreakBefore w:val="0"/>
        <w:numPr>
          <w:ilvl w:val="0"/>
          <w:numId w:val="0"/>
        </w:numPr>
        <w:kinsoku/>
        <w:wordWrap/>
        <w:overflowPunct/>
        <w:topLinePunct w:val="0"/>
        <w:autoSpaceDE/>
        <w:autoSpaceDN/>
        <w:bidi w:val="0"/>
        <w:adjustRightInd/>
        <w:snapToGrid/>
        <w:spacing w:line="240" w:lineRule="auto"/>
        <w:ind w:firstLine="643" w:firstLineChars="200"/>
        <w:jc w:val="left"/>
        <w:outlineLvl w:val="2"/>
        <w:rPr>
          <w:rFonts w:hint="eastAsia" w:ascii="仿宋_GB2312" w:hAnsi="仿宋_GB2312" w:eastAsia="仿宋_GB2312" w:cs="仿宋_GB2312"/>
          <w:b/>
          <w:bCs/>
          <w:color w:val="auto"/>
          <w:sz w:val="32"/>
          <w:szCs w:val="40"/>
          <w:highlight w:val="none"/>
          <w:lang w:eastAsia="zh-CN"/>
        </w:rPr>
      </w:pPr>
      <w:bookmarkStart w:id="112" w:name="_Toc26720"/>
      <w:r>
        <w:rPr>
          <w:rFonts w:hint="eastAsia" w:ascii="仿宋_GB2312" w:hAnsi="仿宋_GB2312" w:eastAsia="仿宋_GB2312" w:cs="仿宋_GB2312"/>
          <w:b/>
          <w:bCs/>
          <w:color w:val="auto"/>
          <w:kern w:val="2"/>
          <w:sz w:val="32"/>
          <w:szCs w:val="40"/>
          <w:highlight w:val="none"/>
          <w:lang w:val="en-US" w:eastAsia="zh-CN" w:bidi="ar-SA"/>
        </w:rPr>
        <w:t>1.</w:t>
      </w:r>
      <w:r>
        <w:rPr>
          <w:rFonts w:hint="eastAsia" w:ascii="仿宋_GB2312" w:hAnsi="仿宋_GB2312" w:eastAsia="仿宋_GB2312" w:cs="仿宋_GB2312"/>
          <w:b/>
          <w:bCs/>
          <w:color w:val="auto"/>
          <w:sz w:val="32"/>
          <w:szCs w:val="40"/>
          <w:highlight w:val="none"/>
          <w:lang w:eastAsia="zh-CN"/>
        </w:rPr>
        <w:t>新增项目事前绩效评估</w:t>
      </w:r>
      <w:bookmarkEnd w:id="112"/>
    </w:p>
    <w:p w14:paraId="734EF109">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rPr>
          <w:rFonts w:hint="eastAsia" w:ascii="仿宋_GB2312" w:eastAsia="仿宋_GB2312" w:hAnsiTheme="minorHAnsi"/>
          <w:color w:val="auto"/>
          <w:kern w:val="0"/>
          <w:sz w:val="32"/>
          <w:szCs w:val="32"/>
          <w:highlight w:val="none"/>
          <w:lang w:val="en-US" w:eastAsia="zh-CN" w:bidi="ar"/>
        </w:rPr>
      </w:pPr>
      <w:r>
        <w:rPr>
          <w:rFonts w:hint="eastAsia" w:ascii="仿宋_GB2312" w:eastAsia="仿宋_GB2312" w:hAnsiTheme="minorHAnsi"/>
          <w:color w:val="auto"/>
          <w:kern w:val="0"/>
          <w:sz w:val="32"/>
          <w:szCs w:val="32"/>
          <w:highlight w:val="none"/>
          <w:lang w:val="en-US" w:eastAsia="zh-CN" w:bidi="ar"/>
        </w:rPr>
        <w:t>本指标反映部门对申请新增预算的入库项目开展事前绩效评估工作的落实情况。指标分值2分，得分0分。根据部门提供“东纯村革命老区产业振兴资金”项目资料，新增项目1个，海头街道办未落实新增预算的入库项目开展事前绩效评估工作，不得分。</w:t>
      </w:r>
    </w:p>
    <w:p w14:paraId="1DA04B91">
      <w:pPr>
        <w:pStyle w:val="5"/>
        <w:pageBreakBefore w:val="0"/>
        <w:numPr>
          <w:ilvl w:val="0"/>
          <w:numId w:val="0"/>
        </w:numPr>
        <w:kinsoku/>
        <w:wordWrap/>
        <w:overflowPunct/>
        <w:topLinePunct w:val="0"/>
        <w:autoSpaceDE/>
        <w:autoSpaceDN/>
        <w:bidi w:val="0"/>
        <w:adjustRightInd/>
        <w:snapToGrid/>
        <w:spacing w:before="0" w:after="0" w:line="240" w:lineRule="auto"/>
        <w:ind w:left="624" w:leftChars="0"/>
        <w:outlineLvl w:val="1"/>
        <w:rPr>
          <w:rFonts w:hint="eastAsia" w:ascii="楷体" w:hAnsi="楷体" w:eastAsia="楷体" w:cs="楷体"/>
          <w:color w:val="auto"/>
          <w:highlight w:val="none"/>
          <w:lang w:eastAsia="zh-CN"/>
        </w:rPr>
      </w:pPr>
      <w:bookmarkStart w:id="113" w:name="_Toc23777"/>
      <w:bookmarkStart w:id="114" w:name="_Toc26449"/>
      <w:bookmarkStart w:id="115" w:name="_Toc18834"/>
      <w:r>
        <w:rPr>
          <w:rFonts w:hint="eastAsia" w:ascii="楷体" w:hAnsi="楷体" w:eastAsia="楷体" w:cs="楷体"/>
          <w:color w:val="auto"/>
          <w:highlight w:val="none"/>
          <w:lang w:eastAsia="zh-CN"/>
        </w:rPr>
        <w:t>（</w:t>
      </w:r>
      <w:r>
        <w:rPr>
          <w:rFonts w:hint="eastAsia" w:ascii="楷体" w:hAnsi="楷体" w:eastAsia="楷体" w:cs="楷体"/>
          <w:color w:val="auto"/>
          <w:highlight w:val="none"/>
          <w:lang w:val="en-US" w:eastAsia="zh-CN"/>
        </w:rPr>
        <w:t>三</w:t>
      </w:r>
      <w:r>
        <w:rPr>
          <w:rFonts w:hint="eastAsia" w:ascii="楷体" w:hAnsi="楷体" w:eastAsia="楷体" w:cs="楷体"/>
          <w:color w:val="auto"/>
          <w:highlight w:val="none"/>
          <w:lang w:eastAsia="zh-CN"/>
        </w:rPr>
        <w:t>）预算执行</w:t>
      </w:r>
      <w:bookmarkEnd w:id="113"/>
      <w:bookmarkEnd w:id="114"/>
      <w:bookmarkEnd w:id="115"/>
    </w:p>
    <w:p w14:paraId="54DDD25E">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rPr>
          <w:rFonts w:hint="default" w:ascii="仿宋_GB2312" w:eastAsia="仿宋_GB2312" w:hAnsiTheme="minorHAnsi"/>
          <w:color w:val="auto"/>
          <w:kern w:val="0"/>
          <w:sz w:val="32"/>
          <w:szCs w:val="32"/>
          <w:highlight w:val="none"/>
          <w:lang w:val="en-US" w:eastAsia="zh-CN" w:bidi="ar"/>
        </w:rPr>
      </w:pPr>
      <w:r>
        <w:rPr>
          <w:rFonts w:hint="eastAsia" w:ascii="仿宋_GB2312" w:eastAsia="仿宋_GB2312" w:hAnsiTheme="minorHAnsi"/>
          <w:color w:val="auto"/>
          <w:kern w:val="0"/>
          <w:sz w:val="32"/>
          <w:szCs w:val="32"/>
          <w:highlight w:val="none"/>
          <w:lang w:val="en-US" w:eastAsia="zh-CN" w:bidi="ar"/>
        </w:rPr>
        <w:t>本指标由预算编制约束性和财务管理合规性组成。指标分值7分，得分6.68分，得分率95.43%。</w:t>
      </w:r>
    </w:p>
    <w:p w14:paraId="29AC29AF">
      <w:pPr>
        <w:pageBreakBefore w:val="0"/>
        <w:numPr>
          <w:ilvl w:val="0"/>
          <w:numId w:val="0"/>
        </w:numPr>
        <w:kinsoku/>
        <w:wordWrap/>
        <w:overflowPunct/>
        <w:topLinePunct w:val="0"/>
        <w:autoSpaceDE/>
        <w:autoSpaceDN/>
        <w:bidi w:val="0"/>
        <w:adjustRightInd/>
        <w:snapToGrid/>
        <w:spacing w:line="240" w:lineRule="auto"/>
        <w:ind w:firstLine="643" w:firstLineChars="200"/>
        <w:jc w:val="left"/>
        <w:outlineLvl w:val="2"/>
        <w:rPr>
          <w:rFonts w:hint="eastAsia" w:ascii="仿宋_GB2312" w:hAnsi="仿宋_GB2312" w:eastAsia="仿宋_GB2312" w:cs="仿宋_GB2312"/>
          <w:b/>
          <w:bCs/>
          <w:color w:val="auto"/>
          <w:sz w:val="32"/>
          <w:szCs w:val="40"/>
          <w:highlight w:val="none"/>
          <w:lang w:eastAsia="zh-CN"/>
        </w:rPr>
      </w:pPr>
      <w:bookmarkStart w:id="116" w:name="_Toc13602"/>
      <w:r>
        <w:rPr>
          <w:rFonts w:hint="eastAsia" w:ascii="仿宋_GB2312" w:hAnsi="仿宋_GB2312" w:eastAsia="仿宋_GB2312" w:cs="仿宋_GB2312"/>
          <w:b/>
          <w:bCs/>
          <w:color w:val="auto"/>
          <w:sz w:val="32"/>
          <w:szCs w:val="40"/>
          <w:highlight w:val="none"/>
          <w:lang w:val="en-US" w:eastAsia="zh-CN"/>
        </w:rPr>
        <w:t>1.</w:t>
      </w:r>
      <w:r>
        <w:rPr>
          <w:rFonts w:hint="eastAsia" w:ascii="仿宋_GB2312" w:hAnsi="仿宋_GB2312" w:eastAsia="仿宋_GB2312" w:cs="仿宋_GB2312"/>
          <w:b/>
          <w:bCs/>
          <w:color w:val="auto"/>
          <w:sz w:val="32"/>
          <w:szCs w:val="40"/>
          <w:highlight w:val="none"/>
          <w:lang w:eastAsia="zh-CN"/>
        </w:rPr>
        <w:t>预算编制约束性</w:t>
      </w:r>
      <w:bookmarkEnd w:id="116"/>
    </w:p>
    <w:p w14:paraId="460C0D44">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rPr>
          <w:rFonts w:hint="eastAsia" w:ascii="仿宋_GB2312" w:eastAsia="仿宋_GB2312" w:hAnsiTheme="minorHAnsi"/>
          <w:color w:val="auto"/>
          <w:kern w:val="0"/>
          <w:sz w:val="32"/>
          <w:szCs w:val="32"/>
          <w:highlight w:val="none"/>
          <w:lang w:val="en-US" w:eastAsia="zh-CN" w:bidi="ar"/>
        </w:rPr>
      </w:pPr>
      <w:r>
        <w:rPr>
          <w:rFonts w:hint="eastAsia" w:ascii="仿宋_GB2312" w:eastAsia="仿宋_GB2312" w:hAnsiTheme="minorHAnsi"/>
          <w:color w:val="auto"/>
          <w:kern w:val="0"/>
          <w:sz w:val="32"/>
          <w:szCs w:val="32"/>
          <w:highlight w:val="none"/>
          <w:lang w:val="en-US" w:eastAsia="zh-CN" w:bidi="ar"/>
        </w:rPr>
        <w:t>本指标反映部门预算的调剂、年中追加资金情况。指标分值为4分，得分3.68分，得分率为92%。海头街道办2023年度预算调剂184.03万元，本指标综合得分=（1-预算调剂发生率）×分值×60%+（1-年中追加资金占比率）×分值×40%=[1-(1363.98-1179.95）/1363.98]×4×60%+4×40%=2.08+1.6=3.68分。</w:t>
      </w:r>
    </w:p>
    <w:p w14:paraId="1FCA2070">
      <w:pPr>
        <w:pStyle w:val="5"/>
        <w:pageBreakBefore w:val="0"/>
        <w:numPr>
          <w:ilvl w:val="0"/>
          <w:numId w:val="0"/>
        </w:numPr>
        <w:kinsoku/>
        <w:wordWrap/>
        <w:overflowPunct/>
        <w:topLinePunct w:val="0"/>
        <w:autoSpaceDE/>
        <w:autoSpaceDN/>
        <w:bidi w:val="0"/>
        <w:adjustRightInd/>
        <w:snapToGrid/>
        <w:spacing w:before="0" w:after="0" w:line="240" w:lineRule="auto"/>
        <w:ind w:left="0" w:leftChars="0" w:firstLine="643" w:firstLineChars="200"/>
        <w:rPr>
          <w:rFonts w:hint="eastAsia" w:ascii="仿宋_GB2312" w:hAnsi="仿宋_GB2312" w:eastAsia="仿宋_GB2312" w:cs="仿宋_GB2312"/>
          <w:b/>
          <w:bCs/>
          <w:color w:val="auto"/>
          <w:sz w:val="32"/>
          <w:szCs w:val="40"/>
          <w:highlight w:val="none"/>
        </w:rPr>
      </w:pPr>
      <w:bookmarkStart w:id="117" w:name="_Toc8304"/>
      <w:bookmarkStart w:id="118" w:name="_Toc19420"/>
      <w:r>
        <w:rPr>
          <w:rFonts w:hint="eastAsia" w:ascii="仿宋_GB2312" w:hAnsi="仿宋_GB2312" w:eastAsia="仿宋_GB2312" w:cs="仿宋_GB2312"/>
          <w:b/>
          <w:bCs/>
          <w:color w:val="auto"/>
          <w:sz w:val="32"/>
          <w:szCs w:val="40"/>
          <w:highlight w:val="none"/>
          <w:lang w:val="en-US" w:eastAsia="zh-CN"/>
        </w:rPr>
        <w:t>2.</w:t>
      </w:r>
      <w:r>
        <w:rPr>
          <w:rFonts w:hint="eastAsia" w:ascii="仿宋_GB2312" w:hAnsi="仿宋_GB2312" w:eastAsia="仿宋_GB2312" w:cs="仿宋_GB2312"/>
          <w:b/>
          <w:bCs/>
          <w:color w:val="auto"/>
          <w:sz w:val="32"/>
          <w:szCs w:val="40"/>
          <w:highlight w:val="none"/>
        </w:rPr>
        <w:t>财务管理合规性</w:t>
      </w:r>
      <w:bookmarkEnd w:id="117"/>
      <w:bookmarkEnd w:id="118"/>
    </w:p>
    <w:p w14:paraId="2FAA620D">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rPr>
          <w:rFonts w:hint="default" w:ascii="仿宋_GB2312" w:eastAsia="仿宋_GB2312" w:hAnsiTheme="minorHAnsi"/>
          <w:color w:val="auto"/>
          <w:kern w:val="0"/>
          <w:sz w:val="32"/>
          <w:szCs w:val="32"/>
          <w:highlight w:val="none"/>
          <w:lang w:val="en-US" w:eastAsia="zh-CN" w:bidi="ar"/>
        </w:rPr>
      </w:pPr>
      <w:r>
        <w:rPr>
          <w:rFonts w:hint="eastAsia" w:ascii="仿宋_GB2312" w:eastAsia="仿宋_GB2312" w:hAnsiTheme="minorHAnsi"/>
          <w:color w:val="auto"/>
          <w:kern w:val="0"/>
          <w:sz w:val="32"/>
          <w:szCs w:val="32"/>
          <w:highlight w:val="none"/>
          <w:lang w:val="en-US" w:eastAsia="zh-CN" w:bidi="ar"/>
        </w:rPr>
        <w:t>本指标反映部门（单位）财务管理的规范性。指标分值为3分，得分3分，得分率为100%。评价小组翻阅了海头街道办的部门制度汇编、财务管理制度等资料，海头街道办提供的资料中没有审计和财会监督对单位资金支出范围、程序、用途、核算明确指出问题和处理意见的资料，本指标不扣分。</w:t>
      </w:r>
    </w:p>
    <w:p w14:paraId="395DED1F">
      <w:pPr>
        <w:pStyle w:val="5"/>
        <w:pageBreakBefore w:val="0"/>
        <w:numPr>
          <w:ilvl w:val="0"/>
          <w:numId w:val="0"/>
        </w:numPr>
        <w:kinsoku/>
        <w:wordWrap/>
        <w:overflowPunct/>
        <w:topLinePunct w:val="0"/>
        <w:autoSpaceDE/>
        <w:autoSpaceDN/>
        <w:bidi w:val="0"/>
        <w:adjustRightInd/>
        <w:snapToGrid/>
        <w:spacing w:before="0" w:after="0" w:line="240" w:lineRule="auto"/>
        <w:ind w:left="624" w:leftChars="0"/>
        <w:outlineLvl w:val="1"/>
        <w:rPr>
          <w:rFonts w:hint="eastAsia" w:ascii="楷体" w:hAnsi="楷体" w:eastAsia="楷体" w:cs="楷体"/>
          <w:color w:val="auto"/>
          <w:highlight w:val="none"/>
          <w:lang w:eastAsia="zh-CN"/>
        </w:rPr>
      </w:pPr>
      <w:bookmarkStart w:id="119" w:name="_Toc5656"/>
      <w:bookmarkStart w:id="120" w:name="_Toc565"/>
      <w:bookmarkStart w:id="121" w:name="_Toc12344"/>
      <w:r>
        <w:rPr>
          <w:rFonts w:hint="eastAsia" w:ascii="楷体" w:hAnsi="楷体" w:eastAsia="楷体" w:cs="楷体"/>
          <w:color w:val="auto"/>
          <w:highlight w:val="none"/>
          <w:lang w:eastAsia="zh-CN"/>
        </w:rPr>
        <w:t>（</w:t>
      </w:r>
      <w:r>
        <w:rPr>
          <w:rFonts w:hint="eastAsia" w:ascii="楷体" w:hAnsi="楷体" w:eastAsia="楷体" w:cs="楷体"/>
          <w:color w:val="auto"/>
          <w:highlight w:val="none"/>
          <w:lang w:val="en-US" w:eastAsia="zh-CN"/>
        </w:rPr>
        <w:t>四</w:t>
      </w:r>
      <w:r>
        <w:rPr>
          <w:rFonts w:hint="eastAsia" w:ascii="楷体" w:hAnsi="楷体" w:eastAsia="楷体" w:cs="楷体"/>
          <w:color w:val="auto"/>
          <w:highlight w:val="none"/>
          <w:lang w:eastAsia="zh-CN"/>
        </w:rPr>
        <w:t>）信息公开</w:t>
      </w:r>
      <w:bookmarkEnd w:id="119"/>
      <w:bookmarkEnd w:id="120"/>
      <w:bookmarkEnd w:id="121"/>
    </w:p>
    <w:p w14:paraId="786495A8">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rPr>
          <w:rFonts w:hint="eastAsia" w:ascii="仿宋_GB2312" w:eastAsia="仿宋_GB2312" w:hAnsiTheme="minorHAnsi"/>
          <w:color w:val="auto"/>
          <w:kern w:val="0"/>
          <w:sz w:val="32"/>
          <w:szCs w:val="32"/>
          <w:highlight w:val="none"/>
          <w:lang w:val="en-US" w:eastAsia="zh-CN" w:bidi="ar"/>
        </w:rPr>
      </w:pPr>
      <w:r>
        <w:rPr>
          <w:rFonts w:hint="eastAsia" w:ascii="仿宋_GB2312" w:eastAsia="仿宋_GB2312" w:hAnsiTheme="minorHAnsi"/>
          <w:color w:val="auto"/>
          <w:kern w:val="0"/>
          <w:sz w:val="32"/>
          <w:szCs w:val="32"/>
          <w:highlight w:val="none"/>
          <w:lang w:val="en-US" w:eastAsia="zh-CN" w:bidi="ar"/>
        </w:rPr>
        <w:t>本指标由预决算公开合规性和绩效信息公开情况组成。指标分值3分，得分2分，得分率66.67%。</w:t>
      </w:r>
    </w:p>
    <w:p w14:paraId="7B3F2DCD">
      <w:pPr>
        <w:pageBreakBefore w:val="0"/>
        <w:numPr>
          <w:ilvl w:val="0"/>
          <w:numId w:val="0"/>
        </w:numPr>
        <w:kinsoku/>
        <w:wordWrap/>
        <w:overflowPunct/>
        <w:topLinePunct w:val="0"/>
        <w:autoSpaceDE/>
        <w:autoSpaceDN/>
        <w:bidi w:val="0"/>
        <w:adjustRightInd/>
        <w:snapToGrid/>
        <w:spacing w:line="240" w:lineRule="auto"/>
        <w:ind w:firstLine="643" w:firstLineChars="200"/>
        <w:jc w:val="left"/>
        <w:outlineLvl w:val="2"/>
        <w:rPr>
          <w:rFonts w:hint="eastAsia" w:ascii="仿宋_GB2312" w:hAnsi="仿宋_GB2312" w:eastAsia="仿宋_GB2312" w:cs="仿宋_GB2312"/>
          <w:b/>
          <w:bCs/>
          <w:color w:val="auto"/>
          <w:sz w:val="32"/>
          <w:szCs w:val="40"/>
          <w:highlight w:val="none"/>
          <w:lang w:eastAsia="zh-CN"/>
        </w:rPr>
      </w:pPr>
      <w:bookmarkStart w:id="122" w:name="_Toc19461"/>
      <w:r>
        <w:rPr>
          <w:rFonts w:hint="eastAsia" w:ascii="仿宋_GB2312" w:hAnsi="仿宋_GB2312" w:eastAsia="仿宋_GB2312" w:cs="仿宋_GB2312"/>
          <w:b/>
          <w:bCs/>
          <w:color w:val="auto"/>
          <w:sz w:val="32"/>
          <w:szCs w:val="40"/>
          <w:highlight w:val="none"/>
          <w:lang w:val="en-US" w:eastAsia="zh-CN"/>
        </w:rPr>
        <w:t>1.</w:t>
      </w:r>
      <w:r>
        <w:rPr>
          <w:rFonts w:hint="eastAsia" w:ascii="仿宋_GB2312" w:hAnsi="仿宋_GB2312" w:eastAsia="仿宋_GB2312" w:cs="仿宋_GB2312"/>
          <w:b/>
          <w:bCs/>
          <w:color w:val="auto"/>
          <w:sz w:val="32"/>
          <w:szCs w:val="40"/>
          <w:highlight w:val="none"/>
          <w:lang w:eastAsia="zh-CN"/>
        </w:rPr>
        <w:t>预决算公开合规性</w:t>
      </w:r>
      <w:bookmarkEnd w:id="122"/>
    </w:p>
    <w:p w14:paraId="7242DF0E">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rPr>
          <w:rFonts w:hint="eastAsia" w:ascii="仿宋_GB2312" w:eastAsia="仿宋_GB2312" w:hAnsiTheme="minorHAnsi"/>
          <w:color w:val="auto"/>
          <w:kern w:val="0"/>
          <w:sz w:val="32"/>
          <w:szCs w:val="32"/>
          <w:highlight w:val="none"/>
          <w:lang w:val="en-US" w:eastAsia="zh-CN" w:bidi="ar"/>
        </w:rPr>
      </w:pPr>
      <w:r>
        <w:rPr>
          <w:rFonts w:hint="eastAsia" w:ascii="仿宋_GB2312" w:eastAsia="仿宋_GB2312" w:hAnsiTheme="minorHAnsi"/>
          <w:color w:val="auto"/>
          <w:kern w:val="0"/>
          <w:sz w:val="32"/>
          <w:szCs w:val="32"/>
          <w:highlight w:val="none"/>
          <w:lang w:val="en-US" w:eastAsia="zh-CN" w:bidi="ar"/>
        </w:rPr>
        <w:t>本指标反映部门（单位）预算决算公开执行的到位情况。指标分值为2分，得分2分，得分率为100%。根据《广东省人民政府办公厅关于进一步推进财政信息公开工作的意见》（粤府办〔2017〕16号）规定，部门预决算应当在本级政府财政部门批复后20日内向社会公开。按照《预算法》和政府信息公开有关规定在政府信息公开目录网站及时公开部门预决算。</w:t>
      </w:r>
    </w:p>
    <w:p w14:paraId="4B361BE9">
      <w:pPr>
        <w:pStyle w:val="5"/>
        <w:pageBreakBefore w:val="0"/>
        <w:numPr>
          <w:ilvl w:val="0"/>
          <w:numId w:val="0"/>
        </w:numPr>
        <w:kinsoku/>
        <w:wordWrap/>
        <w:overflowPunct/>
        <w:topLinePunct w:val="0"/>
        <w:autoSpaceDE/>
        <w:autoSpaceDN/>
        <w:bidi w:val="0"/>
        <w:adjustRightInd/>
        <w:snapToGrid/>
        <w:spacing w:before="0" w:after="0" w:line="240" w:lineRule="auto"/>
        <w:ind w:firstLine="643" w:firstLineChars="200"/>
        <w:rPr>
          <w:rFonts w:hint="eastAsia" w:ascii="仿宋_GB2312" w:hAnsi="仿宋_GB2312" w:eastAsia="仿宋_GB2312" w:cs="仿宋_GB2312"/>
          <w:b/>
          <w:bCs/>
          <w:color w:val="auto"/>
          <w:sz w:val="32"/>
          <w:szCs w:val="40"/>
          <w:highlight w:val="none"/>
        </w:rPr>
      </w:pPr>
      <w:bookmarkStart w:id="123" w:name="_Toc21164"/>
      <w:bookmarkStart w:id="124" w:name="_Toc21388"/>
      <w:r>
        <w:rPr>
          <w:rFonts w:hint="eastAsia" w:ascii="仿宋_GB2312" w:hAnsi="仿宋_GB2312" w:eastAsia="仿宋_GB2312" w:cs="仿宋_GB2312"/>
          <w:b/>
          <w:bCs/>
          <w:color w:val="auto"/>
          <w:sz w:val="32"/>
          <w:szCs w:val="40"/>
          <w:highlight w:val="none"/>
          <w:lang w:val="en-US" w:eastAsia="zh-CN"/>
        </w:rPr>
        <w:t>2.</w:t>
      </w:r>
      <w:r>
        <w:rPr>
          <w:rFonts w:hint="eastAsia" w:ascii="仿宋_GB2312" w:hAnsi="仿宋_GB2312" w:eastAsia="仿宋_GB2312" w:cs="仿宋_GB2312"/>
          <w:b/>
          <w:bCs/>
          <w:color w:val="auto"/>
          <w:sz w:val="32"/>
          <w:szCs w:val="40"/>
          <w:highlight w:val="none"/>
        </w:rPr>
        <w:t>绩效信息公开情况</w:t>
      </w:r>
      <w:bookmarkEnd w:id="123"/>
      <w:bookmarkEnd w:id="124"/>
    </w:p>
    <w:p w14:paraId="66DF48D0">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rPr>
          <w:rFonts w:hint="default" w:ascii="仿宋_GB2312" w:eastAsia="仿宋_GB2312" w:hAnsiTheme="minorHAnsi"/>
          <w:color w:val="auto"/>
          <w:kern w:val="0"/>
          <w:sz w:val="32"/>
          <w:szCs w:val="32"/>
          <w:highlight w:val="none"/>
          <w:lang w:val="en-US" w:eastAsia="zh-CN" w:bidi="ar"/>
        </w:rPr>
      </w:pPr>
      <w:r>
        <w:rPr>
          <w:rFonts w:hint="eastAsia" w:ascii="仿宋_GB2312" w:eastAsia="仿宋_GB2312" w:hAnsiTheme="minorHAnsi"/>
          <w:color w:val="auto"/>
          <w:kern w:val="0"/>
          <w:sz w:val="32"/>
          <w:szCs w:val="32"/>
          <w:highlight w:val="none"/>
          <w:lang w:val="en-US" w:eastAsia="zh-CN" w:bidi="ar"/>
        </w:rPr>
        <w:t>本指标反映部门（单位）绩效信息公开执行到位情况。指标分值为1分，得分0分。海头街道办绩效目标、绩效自评资料未按规定在单位网站公开。本指标扣1分。</w:t>
      </w:r>
    </w:p>
    <w:p w14:paraId="4B98B97E">
      <w:pPr>
        <w:pStyle w:val="5"/>
        <w:pageBreakBefore w:val="0"/>
        <w:numPr>
          <w:ilvl w:val="0"/>
          <w:numId w:val="0"/>
        </w:numPr>
        <w:kinsoku/>
        <w:wordWrap/>
        <w:overflowPunct/>
        <w:topLinePunct w:val="0"/>
        <w:autoSpaceDE/>
        <w:autoSpaceDN/>
        <w:bidi w:val="0"/>
        <w:adjustRightInd/>
        <w:snapToGrid/>
        <w:spacing w:before="0" w:after="0" w:line="240" w:lineRule="auto"/>
        <w:ind w:left="624" w:leftChars="0"/>
        <w:outlineLvl w:val="1"/>
        <w:rPr>
          <w:rFonts w:hint="eastAsia" w:ascii="楷体" w:hAnsi="楷体" w:eastAsia="楷体" w:cs="楷体"/>
          <w:color w:val="auto"/>
          <w:highlight w:val="none"/>
          <w:lang w:eastAsia="zh-CN"/>
        </w:rPr>
      </w:pPr>
      <w:bookmarkStart w:id="125" w:name="_Toc24994"/>
      <w:bookmarkStart w:id="126" w:name="_Toc15904"/>
      <w:bookmarkStart w:id="127" w:name="_Toc30726"/>
      <w:r>
        <w:rPr>
          <w:rFonts w:hint="eastAsia" w:ascii="楷体" w:hAnsi="楷体" w:eastAsia="楷体" w:cs="楷体"/>
          <w:color w:val="auto"/>
          <w:highlight w:val="none"/>
          <w:lang w:eastAsia="zh-CN"/>
        </w:rPr>
        <w:t>（</w:t>
      </w:r>
      <w:r>
        <w:rPr>
          <w:rFonts w:hint="eastAsia" w:ascii="楷体" w:hAnsi="楷体" w:eastAsia="楷体" w:cs="楷体"/>
          <w:color w:val="auto"/>
          <w:highlight w:val="none"/>
          <w:lang w:val="en-US" w:eastAsia="zh-CN"/>
        </w:rPr>
        <w:t>五</w:t>
      </w:r>
      <w:r>
        <w:rPr>
          <w:rFonts w:hint="eastAsia" w:ascii="楷体" w:hAnsi="楷体" w:eastAsia="楷体" w:cs="楷体"/>
          <w:color w:val="auto"/>
          <w:highlight w:val="none"/>
          <w:lang w:eastAsia="zh-CN"/>
        </w:rPr>
        <w:t>）绩效管理</w:t>
      </w:r>
      <w:bookmarkEnd w:id="125"/>
      <w:bookmarkEnd w:id="126"/>
      <w:bookmarkEnd w:id="127"/>
    </w:p>
    <w:p w14:paraId="51300FA3">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rPr>
          <w:rFonts w:hint="default" w:ascii="仿宋_GB2312" w:eastAsia="仿宋_GB2312" w:hAnsiTheme="minorHAnsi"/>
          <w:color w:val="auto"/>
          <w:kern w:val="0"/>
          <w:sz w:val="32"/>
          <w:szCs w:val="32"/>
          <w:highlight w:val="none"/>
          <w:lang w:val="en-US" w:eastAsia="zh-CN" w:bidi="ar"/>
        </w:rPr>
      </w:pPr>
      <w:r>
        <w:rPr>
          <w:rFonts w:hint="eastAsia" w:ascii="仿宋_GB2312" w:eastAsia="仿宋_GB2312" w:hAnsiTheme="minorHAnsi"/>
          <w:color w:val="auto"/>
          <w:kern w:val="0"/>
          <w:sz w:val="32"/>
          <w:szCs w:val="32"/>
          <w:highlight w:val="none"/>
          <w:lang w:val="en-US" w:eastAsia="zh-CN" w:bidi="ar"/>
        </w:rPr>
        <w:t>本指标由绩效管理制度建设和绩效管理制度执行组成。指标分值为15分，得分11.9分，得分率为79.33%。</w:t>
      </w:r>
    </w:p>
    <w:p w14:paraId="6F578604">
      <w:pPr>
        <w:pageBreakBefore w:val="0"/>
        <w:kinsoku/>
        <w:wordWrap/>
        <w:overflowPunct/>
        <w:topLinePunct w:val="0"/>
        <w:autoSpaceDE/>
        <w:autoSpaceDN/>
        <w:bidi w:val="0"/>
        <w:adjustRightInd/>
        <w:snapToGrid/>
        <w:spacing w:line="240" w:lineRule="auto"/>
        <w:ind w:firstLine="643" w:firstLineChars="200"/>
        <w:jc w:val="left"/>
        <w:outlineLvl w:val="2"/>
        <w:rPr>
          <w:rFonts w:hint="eastAsia" w:ascii="仿宋_GB2312" w:hAnsi="仿宋_GB2312" w:eastAsia="仿宋_GB2312" w:cs="仿宋_GB2312"/>
          <w:b/>
          <w:bCs/>
          <w:color w:val="auto"/>
          <w:sz w:val="32"/>
          <w:szCs w:val="40"/>
          <w:highlight w:val="none"/>
          <w:lang w:eastAsia="zh-CN"/>
        </w:rPr>
      </w:pPr>
      <w:bookmarkStart w:id="128" w:name="_Toc14965"/>
      <w:r>
        <w:rPr>
          <w:rFonts w:hint="eastAsia" w:ascii="仿宋_GB2312" w:hAnsi="仿宋_GB2312" w:eastAsia="仿宋_GB2312" w:cs="仿宋_GB2312"/>
          <w:b/>
          <w:bCs/>
          <w:color w:val="auto"/>
          <w:sz w:val="32"/>
          <w:szCs w:val="40"/>
          <w:highlight w:val="none"/>
          <w:lang w:val="en-US" w:eastAsia="zh-CN"/>
        </w:rPr>
        <w:t>1.</w:t>
      </w:r>
      <w:r>
        <w:rPr>
          <w:rFonts w:hint="eastAsia" w:ascii="仿宋_GB2312" w:hAnsi="仿宋_GB2312" w:eastAsia="仿宋_GB2312" w:cs="仿宋_GB2312"/>
          <w:b/>
          <w:bCs/>
          <w:color w:val="auto"/>
          <w:sz w:val="32"/>
          <w:szCs w:val="40"/>
          <w:highlight w:val="none"/>
          <w:lang w:eastAsia="zh-CN"/>
        </w:rPr>
        <w:t>绩效管理制度建设</w:t>
      </w:r>
      <w:bookmarkEnd w:id="128"/>
    </w:p>
    <w:p w14:paraId="76E58024">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rPr>
          <w:rFonts w:hint="default" w:ascii="仿宋_GB2312" w:eastAsia="仿宋_GB2312" w:hAnsiTheme="minorHAnsi"/>
          <w:color w:val="auto"/>
          <w:kern w:val="0"/>
          <w:sz w:val="32"/>
          <w:szCs w:val="32"/>
          <w:highlight w:val="none"/>
          <w:lang w:val="en-US" w:eastAsia="zh-CN" w:bidi="ar"/>
        </w:rPr>
      </w:pPr>
      <w:r>
        <w:rPr>
          <w:rFonts w:hint="eastAsia" w:ascii="仿宋_GB2312" w:eastAsia="仿宋_GB2312" w:hAnsiTheme="minorHAnsi"/>
          <w:color w:val="auto"/>
          <w:kern w:val="0"/>
          <w:sz w:val="32"/>
          <w:szCs w:val="32"/>
          <w:highlight w:val="none"/>
          <w:lang w:val="en-US" w:eastAsia="zh-CN" w:bidi="ar"/>
        </w:rPr>
        <w:t>本指标反映部门对机关和下属单位绩效目标管理、绩效运行监控、绩效评价管理和评价结果应用等预算绩效管理制度的建设情况。指标分值为5分，得分5分，得分率100%。反映部门对机关和下属单位绩效目标管理、绩效运行监控、绩效评价管理和评价结果应用等预算绩效管理制度的建设情况。一是要求出台对本级使用资金管理制度，明确绩效目标管理、绩效运行监控、绩效评价管理和评价结果应用等方面要求（分值2.5分），二是要求部门对机关的绩效职责分工（分值2.5分）。部门已出台制度，明确绩效职责分工要求。</w:t>
      </w:r>
    </w:p>
    <w:p w14:paraId="2387AC63">
      <w:pPr>
        <w:pStyle w:val="5"/>
        <w:pageBreakBefore w:val="0"/>
        <w:numPr>
          <w:ilvl w:val="0"/>
          <w:numId w:val="0"/>
        </w:numPr>
        <w:kinsoku/>
        <w:wordWrap/>
        <w:overflowPunct/>
        <w:topLinePunct w:val="0"/>
        <w:autoSpaceDE/>
        <w:autoSpaceDN/>
        <w:bidi w:val="0"/>
        <w:adjustRightInd/>
        <w:snapToGrid/>
        <w:spacing w:before="0" w:after="0" w:line="240" w:lineRule="auto"/>
        <w:ind w:firstLine="643" w:firstLineChars="200"/>
        <w:rPr>
          <w:rFonts w:hint="eastAsia" w:ascii="仿宋_GB2312" w:hAnsi="仿宋_GB2312" w:eastAsia="仿宋_GB2312" w:cs="仿宋_GB2312"/>
          <w:b/>
          <w:bCs/>
          <w:color w:val="auto"/>
          <w:sz w:val="32"/>
          <w:szCs w:val="40"/>
          <w:highlight w:val="none"/>
        </w:rPr>
      </w:pPr>
      <w:bookmarkStart w:id="129" w:name="_Toc4758"/>
      <w:bookmarkStart w:id="130" w:name="_Toc21306"/>
      <w:r>
        <w:rPr>
          <w:rFonts w:hint="eastAsia" w:ascii="仿宋_GB2312" w:hAnsi="仿宋_GB2312" w:eastAsia="仿宋_GB2312" w:cs="仿宋_GB2312"/>
          <w:b/>
          <w:bCs/>
          <w:color w:val="auto"/>
          <w:sz w:val="32"/>
          <w:szCs w:val="40"/>
          <w:highlight w:val="none"/>
          <w:lang w:val="en-US" w:eastAsia="zh-CN"/>
        </w:rPr>
        <w:t>2.</w:t>
      </w:r>
      <w:r>
        <w:rPr>
          <w:rFonts w:hint="eastAsia" w:ascii="仿宋_GB2312" w:hAnsi="仿宋_GB2312" w:eastAsia="仿宋_GB2312" w:cs="仿宋_GB2312"/>
          <w:b/>
          <w:bCs/>
          <w:color w:val="auto"/>
          <w:sz w:val="32"/>
          <w:szCs w:val="40"/>
          <w:highlight w:val="none"/>
        </w:rPr>
        <w:t>绩效管理制度执行</w:t>
      </w:r>
      <w:bookmarkEnd w:id="129"/>
      <w:bookmarkEnd w:id="130"/>
    </w:p>
    <w:p w14:paraId="7A8FD7B2">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rPr>
          <w:rFonts w:hint="default" w:ascii="仿宋_GB2312" w:eastAsia="仿宋_GB2312" w:hAnsiTheme="minorHAnsi"/>
          <w:color w:val="auto"/>
          <w:kern w:val="0"/>
          <w:sz w:val="32"/>
          <w:szCs w:val="32"/>
          <w:highlight w:val="none"/>
          <w:lang w:val="en-US" w:eastAsia="zh-CN" w:bidi="ar"/>
        </w:rPr>
      </w:pPr>
      <w:r>
        <w:rPr>
          <w:rFonts w:hint="eastAsia" w:ascii="仿宋_GB2312" w:eastAsia="仿宋_GB2312" w:hAnsiTheme="minorHAnsi"/>
          <w:color w:val="auto"/>
          <w:kern w:val="0"/>
          <w:sz w:val="32"/>
          <w:szCs w:val="32"/>
          <w:highlight w:val="none"/>
          <w:lang w:val="en-US" w:eastAsia="zh-CN" w:bidi="ar"/>
        </w:rPr>
        <w:t>本指标反映部门和下属单位在绩效目标管理、绩效运行监控、绩效评价管理和评价结果应用等方面的执行情况。指标分值为10分，得分6.9分，得分率69%。通过以下三方面考核，情况如下：一是评价部门整体预算绩效目标和项目绩效目标编报质量评分（分值4分），部门整体预算绩效目标存在效益指标未充分量化的情况，扣1分；项目绩效目标指标填报不充分不完整，根据《霞山区审计局关于霞山区海头街道办事处2023年度预算执行和其他财政收支情况审计发现问题的整改函》霞审函(2024)39号：绩效目标制定不完整，扣1.5分；；二是根据部门自评复核等级按“良”计算（分值4分），得分4*85%=3.4分。三是部门对重点评价和自评复核意见的整改情况及时反馈（分值2分），经查，部门对重点评价和自评复核意见的整改情况按要求反馈，得2分。综上，本指标综合得分=1.5+4*85%+2=6.9分。</w:t>
      </w:r>
    </w:p>
    <w:p w14:paraId="40C17BEF">
      <w:pPr>
        <w:pStyle w:val="5"/>
        <w:pageBreakBefore w:val="0"/>
        <w:numPr>
          <w:ilvl w:val="0"/>
          <w:numId w:val="0"/>
        </w:numPr>
        <w:kinsoku/>
        <w:wordWrap/>
        <w:overflowPunct/>
        <w:topLinePunct w:val="0"/>
        <w:autoSpaceDE/>
        <w:autoSpaceDN/>
        <w:bidi w:val="0"/>
        <w:adjustRightInd/>
        <w:snapToGrid/>
        <w:spacing w:before="0" w:after="0" w:line="240" w:lineRule="auto"/>
        <w:ind w:left="624" w:leftChars="0"/>
        <w:outlineLvl w:val="1"/>
        <w:rPr>
          <w:rFonts w:hint="eastAsia" w:ascii="楷体" w:hAnsi="楷体" w:eastAsia="楷体" w:cs="楷体"/>
          <w:color w:val="auto"/>
          <w:highlight w:val="none"/>
          <w:lang w:eastAsia="zh-CN"/>
        </w:rPr>
      </w:pPr>
      <w:bookmarkStart w:id="131" w:name="_Toc5582"/>
      <w:r>
        <w:rPr>
          <w:rFonts w:hint="eastAsia" w:ascii="楷体" w:hAnsi="楷体" w:eastAsia="楷体" w:cs="楷体"/>
          <w:color w:val="auto"/>
          <w:highlight w:val="none"/>
          <w:lang w:eastAsia="zh-CN"/>
        </w:rPr>
        <w:t>（</w:t>
      </w:r>
      <w:r>
        <w:rPr>
          <w:rFonts w:hint="eastAsia" w:ascii="楷体" w:hAnsi="楷体" w:eastAsia="楷体" w:cs="楷体"/>
          <w:color w:val="auto"/>
          <w:highlight w:val="none"/>
          <w:lang w:val="en-US" w:eastAsia="zh-CN"/>
        </w:rPr>
        <w:t>六</w:t>
      </w:r>
      <w:r>
        <w:rPr>
          <w:rFonts w:hint="eastAsia" w:ascii="楷体" w:hAnsi="楷体" w:eastAsia="楷体" w:cs="楷体"/>
          <w:color w:val="auto"/>
          <w:highlight w:val="none"/>
          <w:lang w:eastAsia="zh-CN"/>
        </w:rPr>
        <w:t>）采购管理</w:t>
      </w:r>
      <w:bookmarkEnd w:id="131"/>
    </w:p>
    <w:p w14:paraId="6809133E">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rPr>
          <w:rFonts w:hint="eastAsia" w:ascii="仿宋_GB2312" w:eastAsia="仿宋_GB2312" w:hAnsiTheme="minorHAnsi"/>
          <w:color w:val="auto"/>
          <w:kern w:val="0"/>
          <w:sz w:val="32"/>
          <w:szCs w:val="32"/>
          <w:highlight w:val="none"/>
          <w:lang w:val="en-US" w:eastAsia="zh-CN" w:bidi="ar"/>
        </w:rPr>
      </w:pPr>
      <w:r>
        <w:rPr>
          <w:rFonts w:hint="eastAsia" w:ascii="仿宋_GB2312" w:eastAsia="仿宋_GB2312" w:hAnsiTheme="minorHAnsi"/>
          <w:color w:val="auto"/>
          <w:kern w:val="0"/>
          <w:sz w:val="32"/>
          <w:szCs w:val="32"/>
          <w:highlight w:val="none"/>
          <w:lang w:val="en-US" w:eastAsia="zh-CN" w:bidi="ar"/>
        </w:rPr>
        <w:t>本指标由采购意向公开合规性、采购内控制度建设、采购活动合规性、采购合同签订时效性、合同备案时效性和采购政策效能组成。指标分值为10分，得分6.5分，得分率为65%。</w:t>
      </w:r>
    </w:p>
    <w:p w14:paraId="038D17FD">
      <w:pPr>
        <w:pageBreakBefore w:val="0"/>
        <w:kinsoku/>
        <w:wordWrap/>
        <w:overflowPunct/>
        <w:topLinePunct w:val="0"/>
        <w:autoSpaceDE/>
        <w:autoSpaceDN/>
        <w:bidi w:val="0"/>
        <w:adjustRightInd/>
        <w:snapToGrid/>
        <w:spacing w:line="240" w:lineRule="auto"/>
        <w:ind w:firstLine="643" w:firstLineChars="200"/>
        <w:jc w:val="left"/>
        <w:outlineLvl w:val="2"/>
        <w:rPr>
          <w:rFonts w:hint="eastAsia" w:ascii="仿宋_GB2312" w:hAnsi="仿宋_GB2312" w:eastAsia="仿宋_GB2312" w:cs="仿宋_GB2312"/>
          <w:b/>
          <w:bCs/>
          <w:color w:val="auto"/>
          <w:sz w:val="32"/>
          <w:szCs w:val="40"/>
          <w:highlight w:val="none"/>
          <w:lang w:eastAsia="zh-CN"/>
        </w:rPr>
      </w:pPr>
      <w:bookmarkStart w:id="132" w:name="_Toc17568"/>
      <w:r>
        <w:rPr>
          <w:rFonts w:hint="eastAsia" w:ascii="仿宋_GB2312" w:hAnsi="仿宋_GB2312" w:eastAsia="仿宋_GB2312" w:cs="仿宋_GB2312"/>
          <w:b/>
          <w:bCs/>
          <w:color w:val="auto"/>
          <w:sz w:val="32"/>
          <w:szCs w:val="40"/>
          <w:highlight w:val="none"/>
          <w:lang w:val="en-US" w:eastAsia="zh-CN"/>
        </w:rPr>
        <w:t>1.</w:t>
      </w:r>
      <w:r>
        <w:rPr>
          <w:rFonts w:hint="eastAsia" w:ascii="仿宋_GB2312" w:hAnsi="仿宋_GB2312" w:eastAsia="仿宋_GB2312" w:cs="仿宋_GB2312"/>
          <w:b/>
          <w:bCs/>
          <w:color w:val="auto"/>
          <w:sz w:val="32"/>
          <w:szCs w:val="40"/>
          <w:highlight w:val="none"/>
          <w:lang w:eastAsia="zh-CN"/>
        </w:rPr>
        <w:t>采购意向公开合规性</w:t>
      </w:r>
      <w:bookmarkEnd w:id="132"/>
    </w:p>
    <w:p w14:paraId="5B2600F2">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rPr>
          <w:rFonts w:hint="default" w:ascii="仿宋_GB2312" w:eastAsia="仿宋_GB2312" w:hAnsiTheme="minorHAnsi"/>
          <w:color w:val="auto"/>
          <w:kern w:val="0"/>
          <w:sz w:val="32"/>
          <w:szCs w:val="32"/>
          <w:highlight w:val="none"/>
          <w:lang w:val="en-US" w:eastAsia="zh-CN" w:bidi="ar"/>
        </w:rPr>
      </w:pPr>
      <w:r>
        <w:rPr>
          <w:rFonts w:hint="eastAsia" w:ascii="仿宋_GB2312" w:eastAsia="仿宋_GB2312" w:hAnsiTheme="minorHAnsi"/>
          <w:color w:val="auto"/>
          <w:kern w:val="0"/>
          <w:sz w:val="32"/>
          <w:szCs w:val="32"/>
          <w:highlight w:val="none"/>
          <w:lang w:val="en-US" w:eastAsia="zh-CN" w:bidi="ar"/>
        </w:rPr>
        <w:t>本指标反映采购意向公开完整性、及时性情况。指标分值1分，得分1分，得分率为100%。海头街道办按时完整公开采购意向，本项不扣分。</w:t>
      </w:r>
    </w:p>
    <w:p w14:paraId="1C8CA693">
      <w:pPr>
        <w:pStyle w:val="5"/>
        <w:pageBreakBefore w:val="0"/>
        <w:numPr>
          <w:ilvl w:val="0"/>
          <w:numId w:val="0"/>
        </w:numPr>
        <w:kinsoku/>
        <w:wordWrap/>
        <w:overflowPunct/>
        <w:topLinePunct w:val="0"/>
        <w:autoSpaceDE/>
        <w:autoSpaceDN/>
        <w:bidi w:val="0"/>
        <w:adjustRightInd/>
        <w:snapToGrid/>
        <w:spacing w:before="0" w:after="0" w:line="240" w:lineRule="auto"/>
        <w:ind w:firstLine="643" w:firstLineChars="200"/>
        <w:rPr>
          <w:rFonts w:hint="eastAsia" w:ascii="仿宋_GB2312" w:hAnsi="仿宋_GB2312" w:eastAsia="仿宋_GB2312" w:cs="仿宋_GB2312"/>
          <w:b/>
          <w:bCs/>
          <w:color w:val="auto"/>
          <w:sz w:val="32"/>
          <w:szCs w:val="40"/>
          <w:highlight w:val="none"/>
        </w:rPr>
      </w:pPr>
      <w:bookmarkStart w:id="133" w:name="_Toc19212"/>
      <w:bookmarkStart w:id="134" w:name="_Toc16951"/>
      <w:r>
        <w:rPr>
          <w:rFonts w:hint="eastAsia" w:ascii="仿宋_GB2312" w:hAnsi="仿宋_GB2312" w:eastAsia="仿宋_GB2312" w:cs="仿宋_GB2312"/>
          <w:b/>
          <w:bCs/>
          <w:color w:val="auto"/>
          <w:sz w:val="32"/>
          <w:szCs w:val="40"/>
          <w:highlight w:val="none"/>
          <w:lang w:val="en-US" w:eastAsia="zh-CN"/>
        </w:rPr>
        <w:t>2.</w:t>
      </w:r>
      <w:r>
        <w:rPr>
          <w:rFonts w:hint="eastAsia" w:ascii="仿宋_GB2312" w:hAnsi="仿宋_GB2312" w:eastAsia="仿宋_GB2312" w:cs="仿宋_GB2312"/>
          <w:b/>
          <w:bCs/>
          <w:color w:val="auto"/>
          <w:sz w:val="32"/>
          <w:szCs w:val="40"/>
          <w:highlight w:val="none"/>
        </w:rPr>
        <w:t>采购内控制度建设</w:t>
      </w:r>
      <w:bookmarkEnd w:id="133"/>
      <w:bookmarkEnd w:id="134"/>
    </w:p>
    <w:p w14:paraId="03AA938F">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rPr>
          <w:rFonts w:hint="default" w:ascii="仿宋_GB2312" w:eastAsia="仿宋_GB2312" w:hAnsiTheme="minorHAnsi"/>
          <w:color w:val="auto"/>
          <w:kern w:val="0"/>
          <w:sz w:val="32"/>
          <w:szCs w:val="32"/>
          <w:highlight w:val="none"/>
          <w:lang w:val="en-US" w:eastAsia="zh-CN" w:bidi="ar"/>
        </w:rPr>
      </w:pPr>
      <w:r>
        <w:rPr>
          <w:rFonts w:hint="eastAsia" w:ascii="仿宋_GB2312" w:eastAsia="仿宋_GB2312" w:hAnsiTheme="minorHAnsi"/>
          <w:color w:val="auto"/>
          <w:kern w:val="0"/>
          <w:sz w:val="32"/>
          <w:szCs w:val="32"/>
          <w:highlight w:val="none"/>
          <w:lang w:val="en-US" w:eastAsia="zh-CN" w:bidi="ar"/>
        </w:rPr>
        <w:t>本指标反映部门政府采购内部控制管理制度建设情况。指标分值1分，得分1分，得分率为100%。海头街道办制定了政府采购内部控制管理制度，并将政府采购内控制度报财政部门备案，本项不扣分。</w:t>
      </w:r>
    </w:p>
    <w:p w14:paraId="37C7E818">
      <w:pPr>
        <w:pageBreakBefore w:val="0"/>
        <w:numPr>
          <w:ilvl w:val="0"/>
          <w:numId w:val="0"/>
        </w:numPr>
        <w:kinsoku/>
        <w:wordWrap/>
        <w:overflowPunct/>
        <w:topLinePunct w:val="0"/>
        <w:autoSpaceDE/>
        <w:autoSpaceDN/>
        <w:bidi w:val="0"/>
        <w:adjustRightInd/>
        <w:snapToGrid/>
        <w:spacing w:line="240" w:lineRule="auto"/>
        <w:ind w:left="0" w:leftChars="0" w:firstLine="643" w:firstLineChars="200"/>
        <w:jc w:val="left"/>
        <w:outlineLvl w:val="2"/>
        <w:rPr>
          <w:rFonts w:hint="eastAsia" w:ascii="仿宋_GB2312" w:hAnsi="仿宋_GB2312" w:eastAsia="仿宋_GB2312" w:cs="仿宋_GB2312"/>
          <w:b/>
          <w:bCs/>
          <w:color w:val="auto"/>
          <w:sz w:val="32"/>
          <w:szCs w:val="40"/>
          <w:highlight w:val="none"/>
          <w:lang w:eastAsia="zh-CN"/>
        </w:rPr>
      </w:pPr>
      <w:bookmarkStart w:id="135" w:name="_Toc20686"/>
      <w:r>
        <w:rPr>
          <w:rFonts w:hint="eastAsia" w:ascii="仿宋_GB2312" w:hAnsi="仿宋_GB2312" w:eastAsia="仿宋_GB2312" w:cs="仿宋_GB2312"/>
          <w:b/>
          <w:bCs/>
          <w:color w:val="auto"/>
          <w:sz w:val="32"/>
          <w:szCs w:val="40"/>
          <w:highlight w:val="none"/>
          <w:lang w:val="en-US" w:eastAsia="zh-CN"/>
        </w:rPr>
        <w:t>3.</w:t>
      </w:r>
      <w:r>
        <w:rPr>
          <w:rFonts w:hint="eastAsia" w:ascii="仿宋_GB2312" w:hAnsi="仿宋_GB2312" w:eastAsia="仿宋_GB2312" w:cs="仿宋_GB2312"/>
          <w:b/>
          <w:bCs/>
          <w:color w:val="auto"/>
          <w:sz w:val="32"/>
          <w:szCs w:val="40"/>
          <w:highlight w:val="none"/>
          <w:lang w:eastAsia="zh-CN"/>
        </w:rPr>
        <w:t>采购活动合规性</w:t>
      </w:r>
      <w:bookmarkEnd w:id="135"/>
    </w:p>
    <w:p w14:paraId="209BF33C">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rPr>
          <w:rFonts w:hint="default" w:ascii="仿宋_GB2312" w:eastAsia="仿宋_GB2312" w:hAnsiTheme="minorHAnsi"/>
          <w:color w:val="auto"/>
          <w:kern w:val="0"/>
          <w:sz w:val="32"/>
          <w:szCs w:val="32"/>
          <w:highlight w:val="none"/>
          <w:lang w:val="en-US" w:eastAsia="zh-CN" w:bidi="ar"/>
        </w:rPr>
      </w:pPr>
      <w:r>
        <w:rPr>
          <w:rFonts w:hint="eastAsia" w:ascii="仿宋_GB2312" w:eastAsia="仿宋_GB2312" w:hAnsiTheme="minorHAnsi"/>
          <w:color w:val="auto"/>
          <w:kern w:val="0"/>
          <w:sz w:val="32"/>
          <w:szCs w:val="32"/>
          <w:highlight w:val="none"/>
          <w:lang w:val="en-US" w:eastAsia="zh-CN" w:bidi="ar"/>
        </w:rPr>
        <w:t>本指标反映部门政府采购活动合法合规性情况。指标分值2分，得分2分，得分率为100%。评价小组翻阅了海头街道办提供的资料，未发现关于单位的投诉事项，本指标不扣分。</w:t>
      </w:r>
    </w:p>
    <w:p w14:paraId="17C46D61">
      <w:pPr>
        <w:pStyle w:val="5"/>
        <w:pageBreakBefore w:val="0"/>
        <w:numPr>
          <w:ilvl w:val="0"/>
          <w:numId w:val="0"/>
        </w:numPr>
        <w:kinsoku/>
        <w:wordWrap/>
        <w:overflowPunct/>
        <w:topLinePunct w:val="0"/>
        <w:autoSpaceDE/>
        <w:autoSpaceDN/>
        <w:bidi w:val="0"/>
        <w:adjustRightInd/>
        <w:snapToGrid/>
        <w:spacing w:before="0" w:after="0" w:line="240" w:lineRule="auto"/>
        <w:ind w:firstLine="643" w:firstLineChars="200"/>
        <w:rPr>
          <w:rFonts w:hint="eastAsia" w:ascii="仿宋_GB2312" w:hAnsi="仿宋_GB2312" w:eastAsia="仿宋_GB2312" w:cs="仿宋_GB2312"/>
          <w:b/>
          <w:bCs/>
          <w:color w:val="auto"/>
          <w:sz w:val="32"/>
          <w:szCs w:val="40"/>
          <w:highlight w:val="none"/>
        </w:rPr>
      </w:pPr>
      <w:bookmarkStart w:id="136" w:name="_Toc5734"/>
      <w:bookmarkStart w:id="137" w:name="_Toc9151"/>
      <w:r>
        <w:rPr>
          <w:rFonts w:hint="eastAsia" w:ascii="仿宋_GB2312" w:hAnsi="仿宋_GB2312" w:eastAsia="仿宋_GB2312" w:cs="仿宋_GB2312"/>
          <w:b/>
          <w:bCs/>
          <w:color w:val="auto"/>
          <w:sz w:val="32"/>
          <w:szCs w:val="40"/>
          <w:highlight w:val="none"/>
          <w:lang w:val="en-US" w:eastAsia="zh-CN"/>
        </w:rPr>
        <w:t>4.</w:t>
      </w:r>
      <w:r>
        <w:rPr>
          <w:rFonts w:hint="eastAsia" w:ascii="仿宋_GB2312" w:hAnsi="仿宋_GB2312" w:eastAsia="仿宋_GB2312" w:cs="仿宋_GB2312"/>
          <w:b/>
          <w:bCs/>
          <w:color w:val="auto"/>
          <w:sz w:val="32"/>
          <w:szCs w:val="40"/>
          <w:highlight w:val="none"/>
        </w:rPr>
        <w:t>采购合同签订时效性</w:t>
      </w:r>
      <w:bookmarkEnd w:id="136"/>
      <w:bookmarkEnd w:id="137"/>
    </w:p>
    <w:p w14:paraId="34D60B05">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rPr>
          <w:rFonts w:hint="eastAsia" w:ascii="仿宋_GB2312" w:eastAsia="仿宋_GB2312" w:hAnsiTheme="minorHAnsi"/>
          <w:color w:val="auto"/>
          <w:kern w:val="0"/>
          <w:sz w:val="32"/>
          <w:szCs w:val="32"/>
          <w:highlight w:val="none"/>
          <w:lang w:val="en-US" w:eastAsia="zh-CN" w:bidi="ar"/>
        </w:rPr>
      </w:pPr>
      <w:r>
        <w:rPr>
          <w:rFonts w:hint="eastAsia" w:ascii="仿宋_GB2312" w:eastAsia="仿宋_GB2312" w:hAnsiTheme="minorHAnsi"/>
          <w:color w:val="auto"/>
          <w:kern w:val="0"/>
          <w:sz w:val="32"/>
          <w:szCs w:val="32"/>
          <w:highlight w:val="none"/>
          <w:lang w:val="en-US" w:eastAsia="zh-CN" w:bidi="ar"/>
        </w:rPr>
        <w:t>本指标分为2个方面，反映部门采购政策执行的效果情况。指标分值合计2.5分，得分0分。</w:t>
      </w:r>
    </w:p>
    <w:p w14:paraId="7EBF0E75">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rPr>
          <w:rFonts w:hint="default" w:ascii="仿宋_GB2312" w:eastAsia="仿宋_GB2312" w:hAnsiTheme="minorHAnsi"/>
          <w:color w:val="auto"/>
          <w:kern w:val="0"/>
          <w:sz w:val="32"/>
          <w:szCs w:val="32"/>
          <w:highlight w:val="none"/>
          <w:lang w:val="en-US" w:eastAsia="zh-CN" w:bidi="ar"/>
        </w:rPr>
      </w:pPr>
      <w:r>
        <w:rPr>
          <w:rFonts w:hint="eastAsia" w:ascii="仿宋_GB2312" w:eastAsia="仿宋_GB2312" w:hAnsiTheme="minorHAnsi"/>
          <w:color w:val="auto"/>
          <w:kern w:val="0"/>
          <w:sz w:val="32"/>
          <w:szCs w:val="32"/>
          <w:highlight w:val="none"/>
          <w:lang w:val="en-US" w:eastAsia="zh-CN" w:bidi="ar"/>
        </w:rPr>
        <w:t>指标一反映政府采购合同签订及时性情况。指标分值1.5分，得分0分。海头街道办2023年电子卖场签订合同32份，在中标、成交通知书发出之日起及时与供应商签订合同的共有12份，合同签订及时率=在规定时限内签订合同项目数/总项目数=12/32=37.5%，合同签订及时率&lt;80%，不得分。</w:t>
      </w:r>
    </w:p>
    <w:p w14:paraId="368E470B">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rPr>
          <w:rFonts w:hint="default" w:ascii="仿宋_GB2312" w:eastAsia="仿宋_GB2312" w:hAnsiTheme="minorHAnsi"/>
          <w:color w:val="auto"/>
          <w:kern w:val="0"/>
          <w:sz w:val="32"/>
          <w:szCs w:val="32"/>
          <w:highlight w:val="none"/>
          <w:lang w:val="en-US" w:eastAsia="zh-CN" w:bidi="ar"/>
        </w:rPr>
      </w:pPr>
      <w:r>
        <w:rPr>
          <w:rFonts w:hint="eastAsia" w:ascii="仿宋_GB2312" w:eastAsia="仿宋_GB2312" w:hAnsiTheme="minorHAnsi"/>
          <w:color w:val="auto"/>
          <w:kern w:val="0"/>
          <w:sz w:val="32"/>
          <w:szCs w:val="32"/>
          <w:highlight w:val="none"/>
          <w:lang w:val="en-US" w:eastAsia="zh-CN" w:bidi="ar"/>
        </w:rPr>
        <w:t>指标二反映政府采购云平台电子卖场电子合同签订情况。指标分值1分，得分0分。海头街道办均未按线上电子章签订模式完成合同签订，本指标不得分。</w:t>
      </w:r>
    </w:p>
    <w:p w14:paraId="7B694645">
      <w:pPr>
        <w:pageBreakBefore w:val="0"/>
        <w:numPr>
          <w:ilvl w:val="0"/>
          <w:numId w:val="0"/>
        </w:numPr>
        <w:kinsoku/>
        <w:wordWrap/>
        <w:overflowPunct/>
        <w:topLinePunct w:val="0"/>
        <w:autoSpaceDE/>
        <w:autoSpaceDN/>
        <w:bidi w:val="0"/>
        <w:adjustRightInd/>
        <w:snapToGrid/>
        <w:spacing w:line="240" w:lineRule="auto"/>
        <w:ind w:firstLine="643" w:firstLineChars="200"/>
        <w:jc w:val="left"/>
        <w:outlineLvl w:val="2"/>
        <w:rPr>
          <w:rFonts w:hint="eastAsia" w:ascii="仿宋_GB2312" w:hAnsi="仿宋_GB2312" w:eastAsia="仿宋_GB2312" w:cs="仿宋_GB2312"/>
          <w:b/>
          <w:bCs/>
          <w:color w:val="auto"/>
          <w:sz w:val="32"/>
          <w:szCs w:val="40"/>
          <w:highlight w:val="none"/>
          <w:lang w:eastAsia="zh-CN"/>
        </w:rPr>
      </w:pPr>
      <w:bookmarkStart w:id="138" w:name="_Toc6962"/>
      <w:r>
        <w:rPr>
          <w:rFonts w:hint="eastAsia" w:ascii="仿宋_GB2312" w:hAnsi="仿宋_GB2312" w:eastAsia="仿宋_GB2312" w:cs="仿宋_GB2312"/>
          <w:b/>
          <w:bCs/>
          <w:color w:val="auto"/>
          <w:sz w:val="32"/>
          <w:szCs w:val="40"/>
          <w:highlight w:val="none"/>
          <w:lang w:val="en-US" w:eastAsia="zh-CN"/>
        </w:rPr>
        <w:t>5.</w:t>
      </w:r>
      <w:r>
        <w:rPr>
          <w:rFonts w:hint="eastAsia" w:ascii="仿宋_GB2312" w:hAnsi="仿宋_GB2312" w:eastAsia="仿宋_GB2312" w:cs="仿宋_GB2312"/>
          <w:b/>
          <w:bCs/>
          <w:color w:val="auto"/>
          <w:sz w:val="32"/>
          <w:szCs w:val="40"/>
          <w:highlight w:val="none"/>
          <w:lang w:eastAsia="zh-CN"/>
        </w:rPr>
        <w:t>合同备案时效性</w:t>
      </w:r>
      <w:bookmarkEnd w:id="138"/>
    </w:p>
    <w:p w14:paraId="12148936">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rPr>
          <w:rFonts w:hint="eastAsia" w:ascii="仿宋_GB2312" w:eastAsia="仿宋_GB2312" w:hAnsiTheme="minorHAnsi"/>
          <w:color w:val="auto"/>
          <w:kern w:val="0"/>
          <w:sz w:val="32"/>
          <w:szCs w:val="32"/>
          <w:highlight w:val="none"/>
          <w:lang w:val="en-US" w:eastAsia="zh-CN" w:bidi="ar"/>
        </w:rPr>
      </w:pPr>
      <w:r>
        <w:rPr>
          <w:rFonts w:hint="eastAsia" w:ascii="仿宋_GB2312" w:eastAsia="仿宋_GB2312" w:hAnsiTheme="minorHAnsi"/>
          <w:color w:val="auto"/>
          <w:kern w:val="0"/>
          <w:sz w:val="32"/>
          <w:szCs w:val="32"/>
          <w:highlight w:val="none"/>
          <w:lang w:val="en-US" w:eastAsia="zh-CN" w:bidi="ar"/>
        </w:rPr>
        <w:t>本指标反映采购合同备案及时性情况。指标分值1分，得分0分。海头街道2023年共签订及备案合同32份，其中1份合同（合同编号HT-2023-02819531）签订日期为2023年9月29日，合同备案日期为2023年10月26日，不得分。</w:t>
      </w:r>
    </w:p>
    <w:p w14:paraId="242F9EBA">
      <w:pPr>
        <w:pStyle w:val="5"/>
        <w:pageBreakBefore w:val="0"/>
        <w:numPr>
          <w:ilvl w:val="0"/>
          <w:numId w:val="0"/>
        </w:numPr>
        <w:kinsoku/>
        <w:wordWrap/>
        <w:overflowPunct/>
        <w:topLinePunct w:val="0"/>
        <w:autoSpaceDE/>
        <w:autoSpaceDN/>
        <w:bidi w:val="0"/>
        <w:adjustRightInd/>
        <w:snapToGrid/>
        <w:spacing w:before="0" w:after="0" w:line="240" w:lineRule="auto"/>
        <w:ind w:firstLine="643" w:firstLineChars="200"/>
        <w:rPr>
          <w:rFonts w:hint="eastAsia" w:ascii="仿宋_GB2312" w:hAnsi="仿宋_GB2312" w:eastAsia="仿宋_GB2312" w:cs="仿宋_GB2312"/>
          <w:b/>
          <w:bCs/>
          <w:color w:val="auto"/>
          <w:sz w:val="32"/>
          <w:szCs w:val="40"/>
          <w:highlight w:val="none"/>
        </w:rPr>
      </w:pPr>
      <w:bookmarkStart w:id="139" w:name="_Toc8787"/>
      <w:bookmarkStart w:id="140" w:name="_Toc20226"/>
      <w:r>
        <w:rPr>
          <w:rFonts w:hint="eastAsia" w:ascii="仿宋_GB2312" w:hAnsi="仿宋_GB2312" w:eastAsia="仿宋_GB2312" w:cs="仿宋_GB2312"/>
          <w:b/>
          <w:bCs/>
          <w:color w:val="auto"/>
          <w:sz w:val="32"/>
          <w:szCs w:val="40"/>
          <w:highlight w:val="none"/>
          <w:lang w:val="en-US" w:eastAsia="zh-CN"/>
        </w:rPr>
        <w:t>6.</w:t>
      </w:r>
      <w:r>
        <w:rPr>
          <w:rFonts w:hint="eastAsia" w:ascii="仿宋_GB2312" w:hAnsi="仿宋_GB2312" w:eastAsia="仿宋_GB2312" w:cs="仿宋_GB2312"/>
          <w:b/>
          <w:bCs/>
          <w:color w:val="auto"/>
          <w:sz w:val="32"/>
          <w:szCs w:val="40"/>
          <w:highlight w:val="none"/>
        </w:rPr>
        <w:t>采购政策效能</w:t>
      </w:r>
      <w:bookmarkEnd w:id="139"/>
      <w:bookmarkEnd w:id="140"/>
    </w:p>
    <w:p w14:paraId="341B6A42">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rPr>
          <w:rFonts w:hint="eastAsia" w:ascii="仿宋_GB2312" w:eastAsia="仿宋_GB2312" w:hAnsiTheme="minorHAnsi"/>
          <w:color w:val="auto"/>
          <w:kern w:val="0"/>
          <w:sz w:val="32"/>
          <w:szCs w:val="32"/>
          <w:highlight w:val="none"/>
          <w:lang w:val="en-US" w:eastAsia="zh-CN" w:bidi="ar"/>
        </w:rPr>
      </w:pPr>
      <w:r>
        <w:rPr>
          <w:rFonts w:hint="eastAsia" w:ascii="仿宋_GB2312" w:eastAsia="仿宋_GB2312" w:hAnsiTheme="minorHAnsi"/>
          <w:color w:val="auto"/>
          <w:kern w:val="0"/>
          <w:sz w:val="32"/>
          <w:szCs w:val="32"/>
          <w:highlight w:val="none"/>
          <w:lang w:val="en-US" w:eastAsia="zh-CN" w:bidi="ar"/>
        </w:rPr>
        <w:t>本指标分为2个方面，反映部门采购政策执行的效果情况。指标分值合计2.5分，得分2.5分，得分率为100%。</w:t>
      </w:r>
    </w:p>
    <w:p w14:paraId="5652F5AF">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rPr>
          <w:rFonts w:hint="eastAsia" w:ascii="仿宋_GB2312" w:eastAsia="仿宋_GB2312" w:hAnsiTheme="minorHAnsi"/>
          <w:color w:val="auto"/>
          <w:kern w:val="0"/>
          <w:sz w:val="32"/>
          <w:szCs w:val="32"/>
          <w:highlight w:val="none"/>
          <w:lang w:val="en-US" w:eastAsia="zh-CN" w:bidi="ar"/>
        </w:rPr>
      </w:pPr>
      <w:r>
        <w:rPr>
          <w:rFonts w:hint="eastAsia" w:ascii="仿宋_GB2312" w:eastAsia="仿宋_GB2312" w:hAnsiTheme="minorHAnsi"/>
          <w:color w:val="auto"/>
          <w:kern w:val="0"/>
          <w:sz w:val="32"/>
          <w:szCs w:val="32"/>
          <w:highlight w:val="none"/>
          <w:lang w:val="en-US" w:eastAsia="zh-CN" w:bidi="ar"/>
        </w:rPr>
        <w:t>①指标分值1.5分，得分1.5分，得分率为100%。海头街道办《中小企业执行情况明细表》2023年执行数为50.9万，备案计划金额50.9万元，采购合同金额50.9万元，数值=50.9/50.9*100%=100%，本指标得分=100%*1.5=1.5分。</w:t>
      </w:r>
    </w:p>
    <w:p w14:paraId="60DB0738">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rPr>
          <w:rFonts w:hint="eastAsia" w:ascii="仿宋_GB2312" w:eastAsia="仿宋_GB2312" w:hAnsiTheme="minorHAnsi"/>
          <w:color w:val="auto"/>
          <w:kern w:val="0"/>
          <w:sz w:val="32"/>
          <w:szCs w:val="32"/>
          <w:highlight w:val="none"/>
          <w:lang w:val="en-US" w:eastAsia="zh-CN" w:bidi="ar"/>
        </w:rPr>
      </w:pPr>
      <w:r>
        <w:rPr>
          <w:rFonts w:hint="eastAsia" w:ascii="仿宋_GB2312" w:eastAsia="仿宋_GB2312" w:hAnsiTheme="minorHAnsi"/>
          <w:color w:val="auto"/>
          <w:kern w:val="0"/>
          <w:sz w:val="32"/>
          <w:szCs w:val="32"/>
          <w:highlight w:val="none"/>
          <w:lang w:val="en-US" w:eastAsia="zh-CN" w:bidi="ar"/>
        </w:rPr>
        <w:t>②指标分值1分，得分1分，得分率为100%。根据广东省政府采购网2023年政府采购信用评价结果公告显示，海头街道办未存在迟评或漏评情况，本指标不扣分。</w:t>
      </w:r>
    </w:p>
    <w:p w14:paraId="5A158C6A">
      <w:pPr>
        <w:pStyle w:val="5"/>
        <w:pageBreakBefore w:val="0"/>
        <w:numPr>
          <w:ilvl w:val="0"/>
          <w:numId w:val="0"/>
        </w:numPr>
        <w:kinsoku/>
        <w:wordWrap/>
        <w:overflowPunct/>
        <w:topLinePunct w:val="0"/>
        <w:autoSpaceDE/>
        <w:autoSpaceDN/>
        <w:bidi w:val="0"/>
        <w:adjustRightInd/>
        <w:snapToGrid/>
        <w:spacing w:before="0" w:after="0" w:line="240" w:lineRule="auto"/>
        <w:ind w:left="624" w:leftChars="0"/>
        <w:outlineLvl w:val="1"/>
        <w:rPr>
          <w:rFonts w:hint="eastAsia" w:ascii="楷体" w:hAnsi="楷体" w:eastAsia="楷体" w:cs="楷体"/>
          <w:color w:val="auto"/>
          <w:highlight w:val="none"/>
          <w:lang w:eastAsia="zh-CN"/>
        </w:rPr>
      </w:pPr>
      <w:bookmarkStart w:id="141" w:name="_Toc25488"/>
      <w:r>
        <w:rPr>
          <w:rFonts w:hint="eastAsia" w:ascii="楷体" w:hAnsi="楷体" w:eastAsia="楷体" w:cs="楷体"/>
          <w:color w:val="auto"/>
          <w:highlight w:val="none"/>
          <w:lang w:eastAsia="zh-CN"/>
        </w:rPr>
        <w:t>（</w:t>
      </w:r>
      <w:r>
        <w:rPr>
          <w:rFonts w:hint="eastAsia" w:ascii="楷体" w:hAnsi="楷体" w:eastAsia="楷体" w:cs="楷体"/>
          <w:color w:val="auto"/>
          <w:highlight w:val="none"/>
          <w:lang w:val="en-US" w:eastAsia="zh-CN"/>
        </w:rPr>
        <w:t>七</w:t>
      </w:r>
      <w:r>
        <w:rPr>
          <w:rFonts w:hint="eastAsia" w:ascii="楷体" w:hAnsi="楷体" w:eastAsia="楷体" w:cs="楷体"/>
          <w:color w:val="auto"/>
          <w:highlight w:val="none"/>
          <w:lang w:eastAsia="zh-CN"/>
        </w:rPr>
        <w:t>）资产管理</w:t>
      </w:r>
      <w:bookmarkEnd w:id="141"/>
    </w:p>
    <w:p w14:paraId="405AF8E7">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rPr>
          <w:rFonts w:hint="eastAsia" w:ascii="仿宋_GB2312" w:eastAsia="仿宋_GB2312" w:hAnsiTheme="minorHAnsi"/>
          <w:color w:val="auto"/>
          <w:kern w:val="0"/>
          <w:sz w:val="32"/>
          <w:szCs w:val="32"/>
          <w:highlight w:val="none"/>
          <w:lang w:val="en-US" w:eastAsia="zh-CN" w:bidi="ar"/>
        </w:rPr>
      </w:pPr>
      <w:r>
        <w:rPr>
          <w:rFonts w:hint="eastAsia" w:ascii="仿宋_GB2312" w:eastAsia="仿宋_GB2312" w:hAnsiTheme="minorHAnsi"/>
          <w:color w:val="auto"/>
          <w:kern w:val="0"/>
          <w:sz w:val="32"/>
          <w:szCs w:val="32"/>
          <w:highlight w:val="none"/>
          <w:lang w:val="en-US" w:eastAsia="zh-CN" w:bidi="ar"/>
        </w:rPr>
        <w:t>本指标由资产配置合规性、资产收益上缴的及时性、资产盘点情况、数据质量、资产管理合规性、固定资产利用率组成。指标分值为10分，得分9分，得分率为90%。</w:t>
      </w:r>
    </w:p>
    <w:p w14:paraId="18E28A66">
      <w:pPr>
        <w:pageBreakBefore w:val="0"/>
        <w:kinsoku/>
        <w:wordWrap/>
        <w:overflowPunct/>
        <w:topLinePunct w:val="0"/>
        <w:autoSpaceDE/>
        <w:autoSpaceDN/>
        <w:bidi w:val="0"/>
        <w:adjustRightInd/>
        <w:snapToGrid/>
        <w:spacing w:line="240" w:lineRule="auto"/>
        <w:ind w:firstLine="643" w:firstLineChars="200"/>
        <w:jc w:val="left"/>
        <w:outlineLvl w:val="2"/>
        <w:rPr>
          <w:rFonts w:hint="eastAsia" w:ascii="仿宋_GB2312" w:hAnsi="仿宋_GB2312" w:eastAsia="仿宋_GB2312" w:cs="仿宋_GB2312"/>
          <w:b/>
          <w:bCs/>
          <w:color w:val="auto"/>
          <w:sz w:val="32"/>
          <w:szCs w:val="40"/>
          <w:highlight w:val="none"/>
          <w:lang w:eastAsia="zh-CN"/>
        </w:rPr>
      </w:pPr>
      <w:bookmarkStart w:id="142" w:name="_Toc28015"/>
      <w:r>
        <w:rPr>
          <w:rFonts w:hint="eastAsia" w:ascii="仿宋_GB2312" w:hAnsi="仿宋_GB2312" w:eastAsia="仿宋_GB2312" w:cs="仿宋_GB2312"/>
          <w:b/>
          <w:bCs/>
          <w:color w:val="auto"/>
          <w:sz w:val="32"/>
          <w:szCs w:val="40"/>
          <w:highlight w:val="none"/>
          <w:lang w:val="en-US" w:eastAsia="zh-CN"/>
        </w:rPr>
        <w:t>1.</w:t>
      </w:r>
      <w:r>
        <w:rPr>
          <w:rFonts w:hint="eastAsia" w:ascii="仿宋_GB2312" w:hAnsi="仿宋_GB2312" w:eastAsia="仿宋_GB2312" w:cs="仿宋_GB2312"/>
          <w:b/>
          <w:bCs/>
          <w:color w:val="auto"/>
          <w:sz w:val="32"/>
          <w:szCs w:val="40"/>
          <w:highlight w:val="none"/>
          <w:lang w:eastAsia="zh-CN"/>
        </w:rPr>
        <w:t>资产配置合规性</w:t>
      </w:r>
      <w:bookmarkEnd w:id="142"/>
    </w:p>
    <w:p w14:paraId="28523F1B">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rPr>
          <w:rFonts w:hint="default" w:ascii="仿宋_GB2312" w:eastAsia="仿宋_GB2312" w:hAnsiTheme="minorHAnsi"/>
          <w:color w:val="auto"/>
          <w:kern w:val="0"/>
          <w:sz w:val="32"/>
          <w:szCs w:val="32"/>
          <w:highlight w:val="none"/>
          <w:lang w:val="en-US" w:eastAsia="zh-CN" w:bidi="ar"/>
        </w:rPr>
      </w:pPr>
      <w:r>
        <w:rPr>
          <w:rFonts w:hint="eastAsia" w:ascii="仿宋_GB2312" w:eastAsia="仿宋_GB2312" w:hAnsiTheme="minorHAnsi"/>
          <w:color w:val="auto"/>
          <w:kern w:val="0"/>
          <w:sz w:val="32"/>
          <w:szCs w:val="32"/>
          <w:highlight w:val="none"/>
          <w:lang w:val="en-US" w:eastAsia="zh-CN" w:bidi="ar"/>
        </w:rPr>
        <w:t>本指标反映单位办公室面积和办公设备配置是否超过规定标准。指标分值2分，得分2分，得分率100%。根据海头街道办提供的《2023年度行政事业性国有资产报表》及其他材料未发现不符合规范的情况，本指标不扣分。</w:t>
      </w:r>
    </w:p>
    <w:p w14:paraId="0F4B690F">
      <w:pPr>
        <w:pStyle w:val="5"/>
        <w:pageBreakBefore w:val="0"/>
        <w:numPr>
          <w:ilvl w:val="0"/>
          <w:numId w:val="0"/>
        </w:numPr>
        <w:kinsoku/>
        <w:wordWrap/>
        <w:overflowPunct/>
        <w:topLinePunct w:val="0"/>
        <w:autoSpaceDE/>
        <w:autoSpaceDN/>
        <w:bidi w:val="0"/>
        <w:adjustRightInd/>
        <w:snapToGrid/>
        <w:spacing w:before="0" w:after="0" w:line="240" w:lineRule="auto"/>
        <w:ind w:firstLine="643" w:firstLineChars="200"/>
        <w:rPr>
          <w:rFonts w:hint="eastAsia" w:ascii="仿宋_GB2312" w:hAnsi="仿宋_GB2312" w:eastAsia="仿宋_GB2312" w:cs="仿宋_GB2312"/>
          <w:b/>
          <w:bCs/>
          <w:color w:val="auto"/>
          <w:sz w:val="32"/>
          <w:szCs w:val="40"/>
          <w:highlight w:val="none"/>
        </w:rPr>
      </w:pPr>
      <w:bookmarkStart w:id="143" w:name="_Toc10279"/>
      <w:bookmarkStart w:id="144" w:name="_Toc12418"/>
      <w:r>
        <w:rPr>
          <w:rFonts w:hint="eastAsia" w:ascii="仿宋_GB2312" w:hAnsi="仿宋_GB2312" w:eastAsia="仿宋_GB2312" w:cs="仿宋_GB2312"/>
          <w:b/>
          <w:bCs/>
          <w:color w:val="auto"/>
          <w:kern w:val="2"/>
          <w:sz w:val="32"/>
          <w:szCs w:val="40"/>
          <w:highlight w:val="none"/>
          <w:lang w:val="en-US" w:eastAsia="zh-CN" w:bidi="ar-SA"/>
        </w:rPr>
        <w:t>2.</w:t>
      </w:r>
      <w:r>
        <w:rPr>
          <w:rFonts w:hint="eastAsia" w:ascii="仿宋_GB2312" w:hAnsi="仿宋_GB2312" w:eastAsia="仿宋_GB2312" w:cs="仿宋_GB2312"/>
          <w:b/>
          <w:bCs/>
          <w:color w:val="auto"/>
          <w:sz w:val="32"/>
          <w:szCs w:val="40"/>
          <w:highlight w:val="none"/>
        </w:rPr>
        <w:t>资产收益上缴的及时性</w:t>
      </w:r>
      <w:bookmarkEnd w:id="143"/>
      <w:bookmarkEnd w:id="144"/>
    </w:p>
    <w:p w14:paraId="11CD7C7A">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rPr>
          <w:rFonts w:hint="default" w:ascii="仿宋_GB2312" w:eastAsia="仿宋_GB2312" w:hAnsiTheme="minorHAnsi"/>
          <w:color w:val="auto"/>
          <w:kern w:val="0"/>
          <w:sz w:val="32"/>
          <w:szCs w:val="32"/>
          <w:highlight w:val="none"/>
          <w:lang w:val="en-US" w:eastAsia="zh-CN" w:bidi="ar"/>
        </w:rPr>
      </w:pPr>
      <w:r>
        <w:rPr>
          <w:rFonts w:hint="eastAsia" w:ascii="仿宋_GB2312" w:eastAsia="仿宋_GB2312" w:hAnsiTheme="minorHAnsi"/>
          <w:color w:val="auto"/>
          <w:kern w:val="0"/>
          <w:sz w:val="32"/>
          <w:szCs w:val="32"/>
          <w:highlight w:val="none"/>
          <w:lang w:val="en-US" w:eastAsia="zh-CN" w:bidi="ar"/>
        </w:rPr>
        <w:t>本指标反映单位资产处置和使用收益上缴的及时性。指标分值1分，得分1分，得分率100%。根据海头街道办提供资料，显示资产处置收益和租金已及时上缴，本指标不扣分。</w:t>
      </w:r>
    </w:p>
    <w:p w14:paraId="2C20A102">
      <w:pPr>
        <w:pageBreakBefore w:val="0"/>
        <w:numPr>
          <w:ilvl w:val="0"/>
          <w:numId w:val="0"/>
        </w:numPr>
        <w:kinsoku/>
        <w:wordWrap/>
        <w:overflowPunct/>
        <w:topLinePunct w:val="0"/>
        <w:autoSpaceDE/>
        <w:autoSpaceDN/>
        <w:bidi w:val="0"/>
        <w:adjustRightInd/>
        <w:snapToGrid/>
        <w:spacing w:line="240" w:lineRule="auto"/>
        <w:ind w:firstLine="643" w:firstLineChars="200"/>
        <w:jc w:val="left"/>
        <w:outlineLvl w:val="2"/>
        <w:rPr>
          <w:rFonts w:hint="eastAsia" w:ascii="仿宋_GB2312" w:hAnsi="仿宋_GB2312" w:eastAsia="仿宋_GB2312" w:cs="仿宋_GB2312"/>
          <w:b/>
          <w:bCs/>
          <w:color w:val="auto"/>
          <w:sz w:val="32"/>
          <w:szCs w:val="40"/>
          <w:highlight w:val="none"/>
          <w:lang w:eastAsia="zh-CN"/>
        </w:rPr>
      </w:pPr>
      <w:bookmarkStart w:id="145" w:name="_Toc8757"/>
      <w:r>
        <w:rPr>
          <w:rFonts w:hint="eastAsia" w:ascii="仿宋_GB2312" w:hAnsi="仿宋_GB2312" w:eastAsia="仿宋_GB2312" w:cs="仿宋_GB2312"/>
          <w:b/>
          <w:bCs/>
          <w:color w:val="auto"/>
          <w:kern w:val="2"/>
          <w:sz w:val="32"/>
          <w:szCs w:val="40"/>
          <w:highlight w:val="none"/>
          <w:lang w:val="en-US" w:eastAsia="zh-CN" w:bidi="ar-SA"/>
        </w:rPr>
        <w:t>3.</w:t>
      </w:r>
      <w:r>
        <w:rPr>
          <w:rFonts w:hint="eastAsia" w:ascii="仿宋_GB2312" w:hAnsi="仿宋_GB2312" w:eastAsia="仿宋_GB2312" w:cs="仿宋_GB2312"/>
          <w:b/>
          <w:bCs/>
          <w:color w:val="auto"/>
          <w:sz w:val="32"/>
          <w:szCs w:val="40"/>
          <w:highlight w:val="none"/>
          <w:lang w:eastAsia="zh-CN"/>
        </w:rPr>
        <w:t>资产盘点情况</w:t>
      </w:r>
      <w:bookmarkEnd w:id="145"/>
    </w:p>
    <w:p w14:paraId="29C333C8">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40"/>
          <w:highlight w:val="none"/>
          <w:lang w:val="en-US" w:eastAsia="zh-CN"/>
        </w:rPr>
      </w:pPr>
      <w:r>
        <w:rPr>
          <w:rFonts w:hint="eastAsia" w:ascii="仿宋_GB2312" w:eastAsia="仿宋_GB2312" w:cs="宋体" w:hAnsiTheme="minorHAnsi"/>
          <w:color w:val="auto"/>
          <w:kern w:val="0"/>
          <w:sz w:val="32"/>
          <w:szCs w:val="32"/>
          <w:highlight w:val="none"/>
          <w:lang w:val="en-US" w:eastAsia="zh-CN" w:bidi="ar"/>
        </w:rPr>
        <w:t>本指标反映单位是否每年按要求进行资产盘点。指标分值1分，得分1分，得分率100%。海头街道办已提供《2023年国有资产分析报告》，其中包括资产盘点情况，本指标得分1分。</w:t>
      </w:r>
    </w:p>
    <w:p w14:paraId="7CB46839">
      <w:pPr>
        <w:pageBreakBefore w:val="0"/>
        <w:numPr>
          <w:ilvl w:val="0"/>
          <w:numId w:val="0"/>
        </w:numPr>
        <w:kinsoku/>
        <w:wordWrap/>
        <w:overflowPunct/>
        <w:topLinePunct w:val="0"/>
        <w:autoSpaceDE/>
        <w:autoSpaceDN/>
        <w:bidi w:val="0"/>
        <w:adjustRightInd/>
        <w:snapToGrid/>
        <w:spacing w:line="240" w:lineRule="auto"/>
        <w:ind w:firstLine="643" w:firstLineChars="200"/>
        <w:jc w:val="left"/>
        <w:outlineLvl w:val="2"/>
        <w:rPr>
          <w:rFonts w:hint="eastAsia" w:ascii="仿宋_GB2312" w:hAnsi="仿宋_GB2312" w:eastAsia="仿宋_GB2312" w:cs="仿宋_GB2312"/>
          <w:b/>
          <w:bCs/>
          <w:color w:val="auto"/>
          <w:sz w:val="32"/>
          <w:szCs w:val="40"/>
          <w:highlight w:val="none"/>
          <w:lang w:eastAsia="zh-CN"/>
        </w:rPr>
      </w:pPr>
      <w:bookmarkStart w:id="146" w:name="_Toc27541"/>
      <w:r>
        <w:rPr>
          <w:rFonts w:hint="eastAsia" w:ascii="仿宋_GB2312" w:hAnsi="仿宋_GB2312" w:eastAsia="仿宋_GB2312" w:cs="仿宋_GB2312"/>
          <w:b/>
          <w:bCs/>
          <w:color w:val="auto"/>
          <w:kern w:val="2"/>
          <w:sz w:val="32"/>
          <w:szCs w:val="40"/>
          <w:highlight w:val="none"/>
          <w:lang w:val="en-US" w:eastAsia="zh-CN" w:bidi="ar-SA"/>
        </w:rPr>
        <w:t>4.</w:t>
      </w:r>
      <w:r>
        <w:rPr>
          <w:rFonts w:hint="eastAsia" w:ascii="仿宋_GB2312" w:hAnsi="仿宋_GB2312" w:eastAsia="仿宋_GB2312" w:cs="仿宋_GB2312"/>
          <w:b/>
          <w:bCs/>
          <w:color w:val="auto"/>
          <w:sz w:val="32"/>
          <w:szCs w:val="40"/>
          <w:highlight w:val="none"/>
          <w:lang w:eastAsia="zh-CN"/>
        </w:rPr>
        <w:t>数据质量</w:t>
      </w:r>
      <w:bookmarkEnd w:id="146"/>
    </w:p>
    <w:p w14:paraId="1823CDE1">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rPr>
          <w:rFonts w:hint="eastAsia" w:ascii="仿宋_GB2312" w:eastAsia="仿宋_GB2312" w:hAnsiTheme="minorHAnsi"/>
          <w:color w:val="auto"/>
          <w:kern w:val="0"/>
          <w:sz w:val="32"/>
          <w:szCs w:val="32"/>
          <w:highlight w:val="none"/>
          <w:lang w:val="en-US" w:eastAsia="zh-CN" w:bidi="ar"/>
        </w:rPr>
      </w:pPr>
      <w:r>
        <w:rPr>
          <w:rFonts w:hint="eastAsia" w:ascii="仿宋_GB2312" w:eastAsia="仿宋_GB2312" w:hAnsiTheme="minorHAnsi"/>
          <w:color w:val="auto"/>
          <w:kern w:val="0"/>
          <w:sz w:val="32"/>
          <w:szCs w:val="32"/>
          <w:highlight w:val="none"/>
          <w:lang w:val="en-US" w:eastAsia="zh-CN" w:bidi="ar"/>
        </w:rPr>
        <w:t>反映部门（单位）行政事业性国有资产年报数据质量。指标分值2分，得分1分，得分率50%。海头街道办2023年度行政事业性国有资产报表固定资产总额7.099.690.02元，2023年度资产负债表固定资产期末余额7.082.189.02元，资产账与财务账不一致，扣1分。</w:t>
      </w:r>
    </w:p>
    <w:p w14:paraId="011705A7">
      <w:pPr>
        <w:pageBreakBefore w:val="0"/>
        <w:numPr>
          <w:ilvl w:val="0"/>
          <w:numId w:val="0"/>
        </w:numPr>
        <w:kinsoku/>
        <w:wordWrap/>
        <w:overflowPunct/>
        <w:topLinePunct w:val="0"/>
        <w:autoSpaceDE/>
        <w:autoSpaceDN/>
        <w:bidi w:val="0"/>
        <w:adjustRightInd/>
        <w:snapToGrid/>
        <w:spacing w:line="240" w:lineRule="auto"/>
        <w:ind w:firstLine="643" w:firstLineChars="200"/>
        <w:jc w:val="left"/>
        <w:outlineLvl w:val="2"/>
        <w:rPr>
          <w:rFonts w:hint="eastAsia" w:ascii="仿宋_GB2312" w:hAnsi="仿宋_GB2312" w:eastAsia="仿宋_GB2312" w:cs="仿宋_GB2312"/>
          <w:b/>
          <w:bCs/>
          <w:color w:val="auto"/>
          <w:sz w:val="32"/>
          <w:szCs w:val="40"/>
          <w:highlight w:val="none"/>
          <w:lang w:eastAsia="zh-CN"/>
        </w:rPr>
      </w:pPr>
      <w:bookmarkStart w:id="147" w:name="_Toc1612"/>
      <w:r>
        <w:rPr>
          <w:rFonts w:hint="eastAsia" w:ascii="仿宋_GB2312" w:hAnsi="仿宋_GB2312" w:eastAsia="仿宋_GB2312" w:cs="仿宋_GB2312"/>
          <w:b/>
          <w:bCs/>
          <w:color w:val="auto"/>
          <w:kern w:val="2"/>
          <w:sz w:val="32"/>
          <w:szCs w:val="40"/>
          <w:highlight w:val="none"/>
          <w:lang w:val="en-US" w:eastAsia="zh-CN" w:bidi="ar-SA"/>
        </w:rPr>
        <w:t>5.</w:t>
      </w:r>
      <w:r>
        <w:rPr>
          <w:rFonts w:hint="eastAsia" w:ascii="仿宋_GB2312" w:hAnsi="仿宋_GB2312" w:eastAsia="仿宋_GB2312" w:cs="仿宋_GB2312"/>
          <w:b/>
          <w:bCs/>
          <w:color w:val="auto"/>
          <w:sz w:val="32"/>
          <w:szCs w:val="40"/>
          <w:highlight w:val="none"/>
          <w:lang w:eastAsia="zh-CN"/>
        </w:rPr>
        <w:t>资产管理合规性</w:t>
      </w:r>
      <w:bookmarkEnd w:id="147"/>
    </w:p>
    <w:p w14:paraId="3401A450">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rPr>
          <w:rFonts w:hint="eastAsia" w:ascii="仿宋_GB2312" w:eastAsia="仿宋_GB2312" w:hAnsiTheme="minorHAnsi"/>
          <w:color w:val="auto"/>
          <w:kern w:val="0"/>
          <w:sz w:val="32"/>
          <w:szCs w:val="32"/>
          <w:highlight w:val="none"/>
          <w:lang w:val="en-US" w:eastAsia="zh-CN" w:bidi="ar"/>
        </w:rPr>
      </w:pPr>
      <w:r>
        <w:rPr>
          <w:rFonts w:hint="eastAsia" w:ascii="仿宋_GB2312" w:eastAsia="仿宋_GB2312" w:hAnsiTheme="minorHAnsi"/>
          <w:color w:val="auto"/>
          <w:kern w:val="0"/>
          <w:sz w:val="32"/>
          <w:szCs w:val="32"/>
          <w:highlight w:val="none"/>
          <w:lang w:val="en-US" w:eastAsia="zh-CN" w:bidi="ar"/>
        </w:rPr>
        <w:t>本指标反映部门（单位）资产管理是否合规。指标分值2分，得分2分，得分率100%。海头街道办建立了资产管理制度，资产管理规范，本指标不扣分。</w:t>
      </w:r>
    </w:p>
    <w:p w14:paraId="44E1D9C2">
      <w:pPr>
        <w:pageBreakBefore w:val="0"/>
        <w:numPr>
          <w:ilvl w:val="0"/>
          <w:numId w:val="0"/>
        </w:numPr>
        <w:kinsoku/>
        <w:wordWrap/>
        <w:overflowPunct/>
        <w:topLinePunct w:val="0"/>
        <w:autoSpaceDE/>
        <w:autoSpaceDN/>
        <w:bidi w:val="0"/>
        <w:adjustRightInd/>
        <w:snapToGrid/>
        <w:spacing w:line="240" w:lineRule="auto"/>
        <w:ind w:firstLine="643" w:firstLineChars="200"/>
        <w:jc w:val="left"/>
        <w:outlineLvl w:val="2"/>
        <w:rPr>
          <w:rFonts w:hint="eastAsia" w:ascii="仿宋_GB2312" w:hAnsi="仿宋_GB2312" w:eastAsia="仿宋_GB2312" w:cs="仿宋_GB2312"/>
          <w:b/>
          <w:bCs/>
          <w:color w:val="auto"/>
          <w:sz w:val="32"/>
          <w:szCs w:val="40"/>
          <w:highlight w:val="none"/>
          <w:lang w:eastAsia="zh-CN"/>
        </w:rPr>
      </w:pPr>
      <w:bookmarkStart w:id="148" w:name="_Toc14675"/>
      <w:r>
        <w:rPr>
          <w:rFonts w:hint="eastAsia" w:ascii="仿宋_GB2312" w:hAnsi="仿宋_GB2312" w:eastAsia="仿宋_GB2312" w:cs="仿宋_GB2312"/>
          <w:b/>
          <w:bCs/>
          <w:color w:val="auto"/>
          <w:kern w:val="2"/>
          <w:sz w:val="32"/>
          <w:szCs w:val="40"/>
          <w:highlight w:val="none"/>
          <w:lang w:val="en-US" w:eastAsia="zh-CN" w:bidi="ar-SA"/>
        </w:rPr>
        <w:t>6.</w:t>
      </w:r>
      <w:r>
        <w:rPr>
          <w:rFonts w:hint="eastAsia" w:ascii="仿宋_GB2312" w:hAnsi="仿宋_GB2312" w:eastAsia="仿宋_GB2312" w:cs="仿宋_GB2312"/>
          <w:b/>
          <w:bCs/>
          <w:color w:val="auto"/>
          <w:sz w:val="32"/>
          <w:szCs w:val="40"/>
          <w:highlight w:val="none"/>
          <w:lang w:eastAsia="zh-CN"/>
        </w:rPr>
        <w:t>固定资产利用率</w:t>
      </w:r>
      <w:bookmarkEnd w:id="148"/>
    </w:p>
    <w:p w14:paraId="1C7546B2">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rPr>
          <w:rFonts w:hint="eastAsia" w:ascii="仿宋_GB2312" w:eastAsia="仿宋_GB2312" w:hAnsiTheme="minorHAnsi"/>
          <w:color w:val="auto"/>
          <w:kern w:val="0"/>
          <w:sz w:val="32"/>
          <w:szCs w:val="32"/>
          <w:highlight w:val="none"/>
          <w:lang w:val="en-US" w:eastAsia="zh-CN" w:bidi="ar"/>
        </w:rPr>
      </w:pPr>
      <w:r>
        <w:rPr>
          <w:rFonts w:hint="eastAsia" w:ascii="仿宋_GB2312" w:eastAsia="仿宋_GB2312" w:hAnsiTheme="minorHAnsi"/>
          <w:color w:val="auto"/>
          <w:kern w:val="0"/>
          <w:sz w:val="32"/>
          <w:szCs w:val="32"/>
          <w:highlight w:val="none"/>
          <w:lang w:val="en-US" w:eastAsia="zh-CN" w:bidi="ar"/>
        </w:rPr>
        <w:t>本指标反映部门（单位）固定资产的使用情况。指标分值2分，得分2分，得分率100%。固定资产使用率=实际在用固定资产总额/所有固定资产总额×100%=7,099,690.02/7,099,690.02×100%=100%。本指标得分=100%*2=2分。</w:t>
      </w:r>
    </w:p>
    <w:p w14:paraId="24A698E4">
      <w:pPr>
        <w:pStyle w:val="5"/>
        <w:pageBreakBefore w:val="0"/>
        <w:numPr>
          <w:ilvl w:val="0"/>
          <w:numId w:val="0"/>
        </w:numPr>
        <w:kinsoku/>
        <w:wordWrap/>
        <w:overflowPunct/>
        <w:topLinePunct w:val="0"/>
        <w:autoSpaceDE/>
        <w:autoSpaceDN/>
        <w:bidi w:val="0"/>
        <w:adjustRightInd/>
        <w:snapToGrid/>
        <w:spacing w:before="0" w:after="0" w:line="240" w:lineRule="auto"/>
        <w:ind w:left="624" w:leftChars="0"/>
        <w:outlineLvl w:val="1"/>
        <w:rPr>
          <w:rFonts w:hint="eastAsia" w:ascii="楷体" w:hAnsi="楷体" w:eastAsia="楷体" w:cs="楷体"/>
          <w:color w:val="auto"/>
          <w:highlight w:val="none"/>
          <w:lang w:eastAsia="zh-CN"/>
        </w:rPr>
      </w:pPr>
      <w:bookmarkStart w:id="149" w:name="_Toc12524"/>
      <w:r>
        <w:rPr>
          <w:rFonts w:hint="eastAsia" w:ascii="楷体" w:hAnsi="楷体" w:eastAsia="楷体" w:cs="楷体"/>
          <w:color w:val="auto"/>
          <w:highlight w:val="none"/>
          <w:lang w:eastAsia="zh-CN"/>
        </w:rPr>
        <w:t>（</w:t>
      </w:r>
      <w:r>
        <w:rPr>
          <w:rFonts w:hint="eastAsia" w:ascii="楷体" w:hAnsi="楷体" w:eastAsia="楷体" w:cs="楷体"/>
          <w:color w:val="auto"/>
          <w:highlight w:val="none"/>
          <w:lang w:val="en-US" w:eastAsia="zh-CN"/>
        </w:rPr>
        <w:t>八</w:t>
      </w:r>
      <w:r>
        <w:rPr>
          <w:rFonts w:hint="eastAsia" w:ascii="楷体" w:hAnsi="楷体" w:eastAsia="楷体" w:cs="楷体"/>
          <w:color w:val="auto"/>
          <w:highlight w:val="none"/>
          <w:lang w:eastAsia="zh-CN"/>
        </w:rPr>
        <w:t>）运行成本</w:t>
      </w:r>
      <w:bookmarkEnd w:id="149"/>
    </w:p>
    <w:p w14:paraId="70080BEC">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rPr>
          <w:rFonts w:hint="default" w:ascii="仿宋_GB2312" w:eastAsia="仿宋_GB2312" w:hAnsiTheme="minorHAnsi"/>
          <w:color w:val="auto"/>
          <w:kern w:val="0"/>
          <w:sz w:val="32"/>
          <w:szCs w:val="32"/>
          <w:highlight w:val="none"/>
          <w:lang w:val="en-US" w:eastAsia="zh-CN" w:bidi="ar"/>
        </w:rPr>
      </w:pPr>
      <w:r>
        <w:rPr>
          <w:rFonts w:hint="eastAsia" w:ascii="仿宋_GB2312" w:eastAsia="仿宋_GB2312" w:hAnsiTheme="minorHAnsi"/>
          <w:color w:val="auto"/>
          <w:kern w:val="0"/>
          <w:sz w:val="32"/>
          <w:szCs w:val="32"/>
          <w:highlight w:val="none"/>
          <w:lang w:val="en-US" w:eastAsia="zh-CN" w:bidi="ar"/>
        </w:rPr>
        <w:t>本指标由经济成本控制情况、“三公”经费控制情况组成。指标分值为3分，得分3分，得分率为100%。</w:t>
      </w:r>
    </w:p>
    <w:p w14:paraId="6243530C">
      <w:pPr>
        <w:pageBreakBefore w:val="0"/>
        <w:kinsoku/>
        <w:wordWrap/>
        <w:overflowPunct/>
        <w:topLinePunct w:val="0"/>
        <w:autoSpaceDE/>
        <w:autoSpaceDN/>
        <w:bidi w:val="0"/>
        <w:adjustRightInd/>
        <w:snapToGrid/>
        <w:spacing w:line="240" w:lineRule="auto"/>
        <w:ind w:firstLine="643" w:firstLineChars="200"/>
        <w:jc w:val="left"/>
        <w:outlineLvl w:val="2"/>
        <w:rPr>
          <w:rFonts w:hint="eastAsia" w:ascii="仿宋_GB2312" w:hAnsi="仿宋_GB2312" w:eastAsia="仿宋_GB2312" w:cs="仿宋_GB2312"/>
          <w:b/>
          <w:bCs/>
          <w:color w:val="auto"/>
          <w:sz w:val="32"/>
          <w:szCs w:val="40"/>
          <w:highlight w:val="none"/>
          <w:lang w:eastAsia="zh-CN"/>
        </w:rPr>
      </w:pPr>
      <w:bookmarkStart w:id="150" w:name="_Toc5030"/>
      <w:r>
        <w:rPr>
          <w:rFonts w:hint="eastAsia" w:ascii="仿宋_GB2312" w:hAnsi="仿宋_GB2312" w:eastAsia="仿宋_GB2312" w:cs="仿宋_GB2312"/>
          <w:b/>
          <w:bCs/>
          <w:color w:val="auto"/>
          <w:sz w:val="32"/>
          <w:szCs w:val="40"/>
          <w:highlight w:val="none"/>
          <w:lang w:val="en-US" w:eastAsia="zh-CN"/>
        </w:rPr>
        <w:t>1.</w:t>
      </w:r>
      <w:r>
        <w:rPr>
          <w:rFonts w:hint="eastAsia" w:ascii="仿宋_GB2312" w:hAnsi="仿宋_GB2312" w:eastAsia="仿宋_GB2312" w:cs="仿宋_GB2312"/>
          <w:b/>
          <w:bCs/>
          <w:color w:val="auto"/>
          <w:sz w:val="32"/>
          <w:szCs w:val="40"/>
          <w:highlight w:val="none"/>
          <w:lang w:eastAsia="zh-CN"/>
        </w:rPr>
        <w:t>经济成本控制情况</w:t>
      </w:r>
      <w:bookmarkEnd w:id="150"/>
    </w:p>
    <w:p w14:paraId="075C7A1E">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rPr>
          <w:rFonts w:hint="default" w:ascii="仿宋_GB2312" w:eastAsia="仿宋_GB2312" w:hAnsiTheme="minorHAnsi"/>
          <w:color w:val="auto"/>
          <w:kern w:val="0"/>
          <w:sz w:val="32"/>
          <w:szCs w:val="32"/>
          <w:highlight w:val="none"/>
          <w:lang w:val="en-US" w:eastAsia="zh-CN" w:bidi="ar"/>
        </w:rPr>
      </w:pPr>
      <w:r>
        <w:rPr>
          <w:rFonts w:hint="eastAsia" w:ascii="仿宋_GB2312" w:eastAsia="仿宋_GB2312" w:hAnsiTheme="minorHAnsi"/>
          <w:color w:val="auto"/>
          <w:kern w:val="0"/>
          <w:sz w:val="32"/>
          <w:szCs w:val="32"/>
          <w:highlight w:val="none"/>
          <w:lang w:val="en-US" w:eastAsia="zh-CN" w:bidi="ar"/>
        </w:rPr>
        <w:t>本指标使用日常公用经费控制率反映和考核部门（单位）对机构运转成本的实际控制程度。指标分值2分，得分2分，得分率100%。2023年海头街道办日常公用经费决算数26.06万元=日常公用经费调整预算数26.06万元，本指标不扣分。</w:t>
      </w:r>
    </w:p>
    <w:p w14:paraId="56CE9E12">
      <w:pPr>
        <w:pStyle w:val="5"/>
        <w:pageBreakBefore w:val="0"/>
        <w:numPr>
          <w:ilvl w:val="0"/>
          <w:numId w:val="0"/>
        </w:numPr>
        <w:kinsoku/>
        <w:wordWrap/>
        <w:overflowPunct/>
        <w:topLinePunct w:val="0"/>
        <w:autoSpaceDE/>
        <w:autoSpaceDN/>
        <w:bidi w:val="0"/>
        <w:adjustRightInd/>
        <w:snapToGrid/>
        <w:spacing w:before="0" w:after="0" w:line="240" w:lineRule="auto"/>
        <w:ind w:firstLine="643" w:firstLineChars="200"/>
        <w:rPr>
          <w:rFonts w:hint="eastAsia" w:ascii="仿宋_GB2312" w:hAnsi="仿宋_GB2312" w:eastAsia="仿宋_GB2312" w:cs="仿宋_GB2312"/>
          <w:b/>
          <w:bCs/>
          <w:color w:val="auto"/>
          <w:sz w:val="32"/>
          <w:szCs w:val="40"/>
          <w:highlight w:val="none"/>
        </w:rPr>
      </w:pPr>
      <w:bookmarkStart w:id="151" w:name="_Toc2771"/>
      <w:bookmarkStart w:id="152" w:name="_Toc4908"/>
      <w:r>
        <w:rPr>
          <w:rFonts w:hint="eastAsia" w:ascii="仿宋_GB2312" w:hAnsi="仿宋_GB2312" w:eastAsia="仿宋_GB2312" w:cs="仿宋_GB2312"/>
          <w:b/>
          <w:bCs/>
          <w:color w:val="auto"/>
          <w:kern w:val="2"/>
          <w:sz w:val="32"/>
          <w:szCs w:val="40"/>
          <w:highlight w:val="none"/>
          <w:lang w:val="en-US" w:eastAsia="zh-CN" w:bidi="ar-SA"/>
        </w:rPr>
        <w:t>2.</w:t>
      </w:r>
      <w:r>
        <w:rPr>
          <w:rFonts w:hint="eastAsia" w:ascii="仿宋_GB2312" w:hAnsi="仿宋_GB2312" w:eastAsia="仿宋_GB2312" w:cs="仿宋_GB2312"/>
          <w:b/>
          <w:bCs/>
          <w:color w:val="auto"/>
          <w:sz w:val="32"/>
          <w:szCs w:val="40"/>
          <w:highlight w:val="none"/>
        </w:rPr>
        <w:t>“三公”经费控制情况</w:t>
      </w:r>
      <w:bookmarkEnd w:id="151"/>
      <w:bookmarkEnd w:id="152"/>
    </w:p>
    <w:p w14:paraId="09C000A4">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rPr>
          <w:rFonts w:hint="eastAsia" w:ascii="仿宋_GB2312" w:eastAsia="仿宋_GB2312" w:hAnsiTheme="minorHAnsi"/>
          <w:color w:val="auto"/>
          <w:kern w:val="0"/>
          <w:sz w:val="32"/>
          <w:szCs w:val="32"/>
          <w:highlight w:val="none"/>
          <w:lang w:val="en-US" w:eastAsia="zh-CN" w:bidi="ar"/>
        </w:rPr>
      </w:pPr>
      <w:r>
        <w:rPr>
          <w:rFonts w:hint="eastAsia" w:ascii="仿宋_GB2312" w:eastAsia="仿宋_GB2312" w:hAnsiTheme="minorHAnsi"/>
          <w:color w:val="auto"/>
          <w:kern w:val="0"/>
          <w:sz w:val="32"/>
          <w:szCs w:val="32"/>
          <w:highlight w:val="none"/>
          <w:lang w:val="en-US" w:eastAsia="zh-CN" w:bidi="ar"/>
        </w:rPr>
        <w:t>本指标反映部门（单位）对“三公”经费的控制效果。指标分值1分，得分1分，得分率100%。2023年海头街道办“三公”经费实际支出数0.87万元=“三公”经费预算数0.87万元，本指标不扣分。</w:t>
      </w:r>
    </w:p>
    <w:p w14:paraId="0A630CB0">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rPr>
          <w:rFonts w:hint="eastAsia" w:ascii="仿宋_GB2312" w:eastAsia="仿宋_GB2312" w:hAnsiTheme="minorHAnsi"/>
          <w:color w:val="auto"/>
          <w:kern w:val="0"/>
          <w:sz w:val="32"/>
          <w:szCs w:val="32"/>
          <w:highlight w:val="none"/>
          <w:lang w:val="en-US" w:eastAsia="zh-CN" w:bidi="ar"/>
        </w:rPr>
      </w:pPr>
    </w:p>
    <w:p w14:paraId="4EC83C53">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both"/>
        <w:rPr>
          <w:rFonts w:ascii="仿宋_GB2312" w:hAnsi="宋体" w:eastAsia="仿宋_GB2312" w:cs="宋体"/>
          <w:color w:val="auto"/>
          <w:kern w:val="0"/>
          <w:sz w:val="32"/>
          <w:szCs w:val="32"/>
          <w:highlight w:val="none"/>
          <w:lang w:bidi="ar"/>
        </w:rPr>
      </w:pPr>
    </w:p>
    <w:p w14:paraId="00ADA708">
      <w:pPr>
        <w:pStyle w:val="22"/>
        <w:ind w:firstLine="0" w:firstLineChars="0"/>
        <w:rPr>
          <w:rFonts w:ascii="仿宋_GB2312" w:hAnsi="宋体" w:eastAsia="仿宋_GB2312" w:cs="宋体"/>
          <w:color w:val="auto"/>
          <w:kern w:val="0"/>
          <w:sz w:val="32"/>
          <w:szCs w:val="32"/>
          <w:highlight w:val="none"/>
          <w:lang w:bidi="ar"/>
        </w:rPr>
      </w:pPr>
    </w:p>
    <w:p w14:paraId="5603CEC3">
      <w:pPr>
        <w:pStyle w:val="22"/>
        <w:ind w:firstLine="0" w:firstLineChars="0"/>
        <w:rPr>
          <w:rFonts w:ascii="仿宋_GB2312" w:hAnsi="宋体" w:eastAsia="仿宋_GB2312" w:cs="宋体"/>
          <w:color w:val="auto"/>
          <w:kern w:val="0"/>
          <w:sz w:val="32"/>
          <w:szCs w:val="32"/>
          <w:highlight w:val="none"/>
          <w:lang w:bidi="ar"/>
        </w:rPr>
      </w:pPr>
    </w:p>
    <w:p w14:paraId="23181F02">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3200" w:firstLineChars="1000"/>
        <w:jc w:val="both"/>
        <w:rPr>
          <w:rFonts w:hint="eastAsia" w:ascii="仿宋_GB2312" w:eastAsia="仿宋_GB2312" w:hAnsiTheme="minorHAnsi"/>
          <w:color w:val="auto"/>
          <w:kern w:val="0"/>
          <w:sz w:val="32"/>
          <w:szCs w:val="32"/>
          <w:highlight w:val="none"/>
          <w:lang w:val="en-US" w:eastAsia="zh-CN" w:bidi="ar"/>
        </w:rPr>
      </w:pPr>
      <w:r>
        <w:rPr>
          <w:rFonts w:hint="eastAsia" w:ascii="仿宋_GB2312" w:eastAsia="仿宋_GB2312" w:hAnsiTheme="minorHAnsi"/>
          <w:color w:val="auto"/>
          <w:kern w:val="0"/>
          <w:sz w:val="32"/>
          <w:szCs w:val="32"/>
          <w:highlight w:val="none"/>
          <w:lang w:val="en-US" w:eastAsia="zh-CN" w:bidi="ar"/>
        </w:rPr>
        <w:t>评价人：彭思</w:t>
      </w:r>
    </w:p>
    <w:p w14:paraId="01DCFBE5">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3200" w:firstLineChars="1000"/>
        <w:jc w:val="both"/>
        <w:rPr>
          <w:rFonts w:hint="eastAsia" w:ascii="仿宋_GB2312" w:eastAsia="仿宋_GB2312" w:hAnsiTheme="minorHAnsi"/>
          <w:color w:val="auto"/>
          <w:kern w:val="0"/>
          <w:sz w:val="32"/>
          <w:szCs w:val="32"/>
          <w:highlight w:val="none"/>
          <w:lang w:val="en-US" w:eastAsia="zh-CN" w:bidi="ar"/>
        </w:rPr>
      </w:pPr>
      <w:r>
        <w:rPr>
          <w:rFonts w:hint="eastAsia" w:ascii="仿宋_GB2312" w:eastAsia="仿宋_GB2312" w:hAnsiTheme="minorHAnsi"/>
          <w:color w:val="auto"/>
          <w:kern w:val="0"/>
          <w:sz w:val="32"/>
          <w:szCs w:val="32"/>
          <w:highlight w:val="none"/>
          <w:lang w:val="en-US" w:eastAsia="zh-CN" w:bidi="ar"/>
        </w:rPr>
        <w:t>湛江亿朗会计师事务所（普通合伙）</w:t>
      </w:r>
    </w:p>
    <w:p w14:paraId="0B37B812">
      <w:pPr>
        <w:pStyle w:val="2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600" w:lineRule="exact"/>
        <w:ind w:right="0" w:rightChars="0" w:firstLine="640" w:firstLineChars="200"/>
        <w:jc w:val="center"/>
        <w:rPr>
          <w:rFonts w:hint="eastAsia" w:ascii="仿宋_GB2312" w:eastAsia="仿宋_GB2312" w:hAnsiTheme="minorHAnsi"/>
          <w:color w:val="auto"/>
          <w:kern w:val="0"/>
          <w:sz w:val="32"/>
          <w:szCs w:val="32"/>
          <w:highlight w:val="none"/>
          <w:lang w:val="en-US" w:eastAsia="zh-CN" w:bidi="ar"/>
        </w:rPr>
      </w:pPr>
      <w:r>
        <w:rPr>
          <w:rFonts w:hint="eastAsia" w:ascii="仿宋_GB2312" w:eastAsia="仿宋_GB2312" w:hAnsiTheme="minorHAnsi"/>
          <w:color w:val="auto"/>
          <w:kern w:val="0"/>
          <w:sz w:val="32"/>
          <w:szCs w:val="32"/>
          <w:highlight w:val="none"/>
          <w:lang w:val="en-US" w:eastAsia="zh-CN" w:bidi="ar"/>
        </w:rPr>
        <w:t xml:space="preserve">           </w:t>
      </w:r>
      <w:bookmarkStart w:id="153" w:name="_GoBack"/>
      <w:bookmarkEnd w:id="153"/>
      <w:r>
        <w:rPr>
          <w:rFonts w:hint="eastAsia" w:ascii="仿宋_GB2312" w:eastAsia="仿宋_GB2312" w:hAnsiTheme="minorHAnsi"/>
          <w:color w:val="auto"/>
          <w:kern w:val="0"/>
          <w:sz w:val="32"/>
          <w:szCs w:val="32"/>
          <w:highlight w:val="none"/>
          <w:lang w:val="en-US" w:eastAsia="zh-CN" w:bidi="ar"/>
        </w:rPr>
        <w:t>2024年12月12日</w:t>
      </w:r>
    </w:p>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4B86888-9288-4F96-973D-95035457A9E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5BBDEB9-EE64-4555-926A-4A0EBBF4CCEE}"/>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3" w:fontKey="{AFACA7F9-3066-4C9C-B2CA-BC90503E14DA}"/>
  </w:font>
  <w:font w:name="Arial Unicode MS">
    <w:altName w:val="宋体"/>
    <w:panose1 w:val="020B0604020202020204"/>
    <w:charset w:val="86"/>
    <w:family w:val="swiss"/>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embedRegular r:id="rId4" w:fontKey="{2C2C2ACD-8464-4139-B743-D3B954D0D3B4}"/>
  </w:font>
  <w:font w:name="Cambria Math">
    <w:panose1 w:val="02040503050406030204"/>
    <w:charset w:val="00"/>
    <w:family w:val="roman"/>
    <w:pitch w:val="default"/>
    <w:sig w:usb0="E00006FF" w:usb1="420024FF" w:usb2="02000000" w:usb3="00000000" w:csb0="2000019F" w:csb1="00000000"/>
    <w:embedRegular r:id="rId5" w:fontKey="{EB4A9256-7C16-426C-91E3-E0C8E374DBA2}"/>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6" w:fontKey="{969F8DEA-DE3D-41F4-99F0-3EA92746A68B}"/>
  </w:font>
  <w:font w:name="华文仿宋">
    <w:panose1 w:val="02010600040101010101"/>
    <w:charset w:val="86"/>
    <w:family w:val="auto"/>
    <w:pitch w:val="default"/>
    <w:sig w:usb0="00000287" w:usb1="080F0000" w:usb2="00000000" w:usb3="00000000" w:csb0="0004009F" w:csb1="DFD70000"/>
    <w:embedRegular r:id="rId7" w:fontKey="{F525808B-ABDE-440B-9D3E-4E2B3E5BFDF7}"/>
  </w:font>
  <w:font w:name="楷体">
    <w:panose1 w:val="02010609060101010101"/>
    <w:charset w:val="86"/>
    <w:family w:val="modern"/>
    <w:pitch w:val="default"/>
    <w:sig w:usb0="800002BF" w:usb1="38CF7CFA" w:usb2="00000016" w:usb3="00000000" w:csb0="00040001" w:csb1="00000000"/>
    <w:embedRegular r:id="rId8" w:fontKey="{7402E841-1822-48CF-94C3-D3DB88F9BA4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73010">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B25CB">
    <w:pPr>
      <w:spacing w:line="1" w:lineRule="exac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B307CD">
                          <w:pPr>
                            <w:pStyle w:val="11"/>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- 33 -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BB307CD">
                    <w:pPr>
                      <w:pStyle w:val="11"/>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- 33 -</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1E633D"/>
    <w:multiLevelType w:val="singleLevel"/>
    <w:tmpl w:val="9F1E633D"/>
    <w:lvl w:ilvl="0" w:tentative="0">
      <w:start w:val="1"/>
      <w:numFmt w:val="chineseCounting"/>
      <w:suff w:val="nothing"/>
      <w:lvlText w:val="（%1）"/>
      <w:lvlJc w:val="left"/>
      <w:rPr>
        <w:rFonts w:hint="eastAsia"/>
      </w:rPr>
    </w:lvl>
  </w:abstractNum>
  <w:abstractNum w:abstractNumId="1">
    <w:nsid w:val="A008013C"/>
    <w:multiLevelType w:val="singleLevel"/>
    <w:tmpl w:val="A008013C"/>
    <w:lvl w:ilvl="0" w:tentative="0">
      <w:start w:val="1"/>
      <w:numFmt w:val="chineseCounting"/>
      <w:suff w:val="nothing"/>
      <w:lvlText w:val="%1、"/>
      <w:lvlJc w:val="left"/>
      <w:rPr>
        <w:rFonts w:hint="eastAsia"/>
      </w:rPr>
    </w:lvl>
  </w:abstractNum>
  <w:abstractNum w:abstractNumId="2">
    <w:nsid w:val="A48528BB"/>
    <w:multiLevelType w:val="singleLevel"/>
    <w:tmpl w:val="A48528BB"/>
    <w:lvl w:ilvl="0" w:tentative="0">
      <w:start w:val="4"/>
      <w:numFmt w:val="chineseCounting"/>
      <w:suff w:val="nothing"/>
      <w:lvlText w:val="%1、"/>
      <w:lvlJc w:val="left"/>
      <w:rPr>
        <w:rFonts w:hint="eastAsia"/>
      </w:rPr>
    </w:lvl>
  </w:abstractNum>
  <w:abstractNum w:abstractNumId="3">
    <w:nsid w:val="6217CF52"/>
    <w:multiLevelType w:val="singleLevel"/>
    <w:tmpl w:val="6217CF52"/>
    <w:lvl w:ilvl="0" w:tentative="0">
      <w:start w:val="1"/>
      <w:numFmt w:val="chineseCounting"/>
      <w:suff w:val="nothing"/>
      <w:lvlText w:val="（%1）"/>
      <w:lvlJc w:val="left"/>
      <w:rPr>
        <w:rFonts w:hint="eastAsia"/>
      </w:rPr>
    </w:lvl>
  </w:abstractNum>
  <w:abstractNum w:abstractNumId="4">
    <w:nsid w:val="6A2FDC6B"/>
    <w:multiLevelType w:val="singleLevel"/>
    <w:tmpl w:val="6A2FDC6B"/>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3NjFmZTU3YTZiNDNhNDBmMGFiMmEzM2YxYWI5NTIifQ=="/>
  </w:docVars>
  <w:rsids>
    <w:rsidRoot w:val="00170A8D"/>
    <w:rsid w:val="00060FC4"/>
    <w:rsid w:val="000722ED"/>
    <w:rsid w:val="0007494C"/>
    <w:rsid w:val="0016789C"/>
    <w:rsid w:val="00170A8D"/>
    <w:rsid w:val="00186978"/>
    <w:rsid w:val="00420D45"/>
    <w:rsid w:val="006C5C2A"/>
    <w:rsid w:val="007856D0"/>
    <w:rsid w:val="0083539B"/>
    <w:rsid w:val="008511EF"/>
    <w:rsid w:val="00874460"/>
    <w:rsid w:val="008909E7"/>
    <w:rsid w:val="00960AD5"/>
    <w:rsid w:val="00990EE3"/>
    <w:rsid w:val="00C66F01"/>
    <w:rsid w:val="00EB2255"/>
    <w:rsid w:val="00EF326E"/>
    <w:rsid w:val="00F936A6"/>
    <w:rsid w:val="01216093"/>
    <w:rsid w:val="01226E84"/>
    <w:rsid w:val="017538DF"/>
    <w:rsid w:val="018726A1"/>
    <w:rsid w:val="01A83401"/>
    <w:rsid w:val="01BE3D12"/>
    <w:rsid w:val="01E67607"/>
    <w:rsid w:val="02000D46"/>
    <w:rsid w:val="022247F8"/>
    <w:rsid w:val="02253EB5"/>
    <w:rsid w:val="022B43C6"/>
    <w:rsid w:val="026E67B7"/>
    <w:rsid w:val="029035CF"/>
    <w:rsid w:val="02B8121F"/>
    <w:rsid w:val="02FC593F"/>
    <w:rsid w:val="031427CD"/>
    <w:rsid w:val="03380FFE"/>
    <w:rsid w:val="035403E3"/>
    <w:rsid w:val="03810CCF"/>
    <w:rsid w:val="03945A00"/>
    <w:rsid w:val="03B409A2"/>
    <w:rsid w:val="03D63E58"/>
    <w:rsid w:val="0457061A"/>
    <w:rsid w:val="04A64D41"/>
    <w:rsid w:val="04C82CB9"/>
    <w:rsid w:val="05097347"/>
    <w:rsid w:val="05153D31"/>
    <w:rsid w:val="05221DF5"/>
    <w:rsid w:val="05304D59"/>
    <w:rsid w:val="0534627A"/>
    <w:rsid w:val="05415CDA"/>
    <w:rsid w:val="058623D7"/>
    <w:rsid w:val="05A31815"/>
    <w:rsid w:val="05B36F80"/>
    <w:rsid w:val="05D8131A"/>
    <w:rsid w:val="05FD7BF1"/>
    <w:rsid w:val="06190E71"/>
    <w:rsid w:val="062562C8"/>
    <w:rsid w:val="065B1151"/>
    <w:rsid w:val="06B20FCB"/>
    <w:rsid w:val="06B707C8"/>
    <w:rsid w:val="06C30A24"/>
    <w:rsid w:val="06C35D8A"/>
    <w:rsid w:val="06CD08F2"/>
    <w:rsid w:val="06E70564"/>
    <w:rsid w:val="06E71DBC"/>
    <w:rsid w:val="06EB556E"/>
    <w:rsid w:val="07BE007D"/>
    <w:rsid w:val="07C617DC"/>
    <w:rsid w:val="07D26D6C"/>
    <w:rsid w:val="084A0C8C"/>
    <w:rsid w:val="084B37FD"/>
    <w:rsid w:val="08574906"/>
    <w:rsid w:val="08934557"/>
    <w:rsid w:val="08995CC4"/>
    <w:rsid w:val="08A076BA"/>
    <w:rsid w:val="08A45CFD"/>
    <w:rsid w:val="08AA27AF"/>
    <w:rsid w:val="08BA11E7"/>
    <w:rsid w:val="08F7102D"/>
    <w:rsid w:val="099E4BD3"/>
    <w:rsid w:val="0A651828"/>
    <w:rsid w:val="0A9E7F24"/>
    <w:rsid w:val="0AE04903"/>
    <w:rsid w:val="0AFC1930"/>
    <w:rsid w:val="0B664CB3"/>
    <w:rsid w:val="0B894C25"/>
    <w:rsid w:val="0B9806AE"/>
    <w:rsid w:val="0BB20732"/>
    <w:rsid w:val="0BDF762C"/>
    <w:rsid w:val="0C1B2BC7"/>
    <w:rsid w:val="0C2858E7"/>
    <w:rsid w:val="0C9F66CF"/>
    <w:rsid w:val="0CDF0000"/>
    <w:rsid w:val="0CEE69E3"/>
    <w:rsid w:val="0CFB76CC"/>
    <w:rsid w:val="0D2704D9"/>
    <w:rsid w:val="0D322239"/>
    <w:rsid w:val="0D536196"/>
    <w:rsid w:val="0D807C3B"/>
    <w:rsid w:val="0D8D4959"/>
    <w:rsid w:val="0DCA1505"/>
    <w:rsid w:val="0E2337BA"/>
    <w:rsid w:val="0ECC359E"/>
    <w:rsid w:val="0ECE2D28"/>
    <w:rsid w:val="0F1244F2"/>
    <w:rsid w:val="0F162585"/>
    <w:rsid w:val="0F171C90"/>
    <w:rsid w:val="0FE352F4"/>
    <w:rsid w:val="0FFD2BCA"/>
    <w:rsid w:val="104A58AA"/>
    <w:rsid w:val="10515C2C"/>
    <w:rsid w:val="105C6333"/>
    <w:rsid w:val="10685E88"/>
    <w:rsid w:val="10764D99"/>
    <w:rsid w:val="107A4779"/>
    <w:rsid w:val="10E923A3"/>
    <w:rsid w:val="10FE773C"/>
    <w:rsid w:val="11586E4C"/>
    <w:rsid w:val="11D0404B"/>
    <w:rsid w:val="11D70319"/>
    <w:rsid w:val="125833D6"/>
    <w:rsid w:val="125910CE"/>
    <w:rsid w:val="12655CC4"/>
    <w:rsid w:val="12765A9D"/>
    <w:rsid w:val="13044F07"/>
    <w:rsid w:val="132A1D90"/>
    <w:rsid w:val="132B5BC9"/>
    <w:rsid w:val="139C5335"/>
    <w:rsid w:val="13B725CF"/>
    <w:rsid w:val="13BC69EE"/>
    <w:rsid w:val="14370B3B"/>
    <w:rsid w:val="143B6FBB"/>
    <w:rsid w:val="14561AA3"/>
    <w:rsid w:val="146461B9"/>
    <w:rsid w:val="14847102"/>
    <w:rsid w:val="14A551F1"/>
    <w:rsid w:val="14FC21E4"/>
    <w:rsid w:val="150B19E1"/>
    <w:rsid w:val="150F3CC6"/>
    <w:rsid w:val="151955DA"/>
    <w:rsid w:val="151B12D0"/>
    <w:rsid w:val="15427DB1"/>
    <w:rsid w:val="1543670A"/>
    <w:rsid w:val="158C42C5"/>
    <w:rsid w:val="15D651CD"/>
    <w:rsid w:val="16451A09"/>
    <w:rsid w:val="16D135BA"/>
    <w:rsid w:val="16DD5306"/>
    <w:rsid w:val="16F47617"/>
    <w:rsid w:val="173C177A"/>
    <w:rsid w:val="176D5E03"/>
    <w:rsid w:val="17F1266A"/>
    <w:rsid w:val="1896572A"/>
    <w:rsid w:val="18D3233A"/>
    <w:rsid w:val="195627C0"/>
    <w:rsid w:val="199261CE"/>
    <w:rsid w:val="199645B8"/>
    <w:rsid w:val="19C072F0"/>
    <w:rsid w:val="19F10CE6"/>
    <w:rsid w:val="1A1A3103"/>
    <w:rsid w:val="1A31058C"/>
    <w:rsid w:val="1A5478EF"/>
    <w:rsid w:val="1A805EFA"/>
    <w:rsid w:val="1ABC5EFC"/>
    <w:rsid w:val="1AC025A4"/>
    <w:rsid w:val="1AC6341C"/>
    <w:rsid w:val="1B432FF8"/>
    <w:rsid w:val="1B5D0D2B"/>
    <w:rsid w:val="1BA40E01"/>
    <w:rsid w:val="1BEF48EC"/>
    <w:rsid w:val="1C371580"/>
    <w:rsid w:val="1C574FB2"/>
    <w:rsid w:val="1C8618DB"/>
    <w:rsid w:val="1C9A0DFF"/>
    <w:rsid w:val="1C9C4394"/>
    <w:rsid w:val="1CC77AB0"/>
    <w:rsid w:val="1CCF3836"/>
    <w:rsid w:val="1CE3621E"/>
    <w:rsid w:val="1CED17D2"/>
    <w:rsid w:val="1D186549"/>
    <w:rsid w:val="1D391C4A"/>
    <w:rsid w:val="1DD72C40"/>
    <w:rsid w:val="1E243EE4"/>
    <w:rsid w:val="1E410E6C"/>
    <w:rsid w:val="1E626E77"/>
    <w:rsid w:val="1EAB5829"/>
    <w:rsid w:val="1F2072C8"/>
    <w:rsid w:val="1F524B7D"/>
    <w:rsid w:val="1F627AE6"/>
    <w:rsid w:val="1FAF2A27"/>
    <w:rsid w:val="1FE057A8"/>
    <w:rsid w:val="1FEF36E2"/>
    <w:rsid w:val="2036312F"/>
    <w:rsid w:val="20636394"/>
    <w:rsid w:val="20661CA7"/>
    <w:rsid w:val="21385D44"/>
    <w:rsid w:val="214745FE"/>
    <w:rsid w:val="215B5687"/>
    <w:rsid w:val="21740AB5"/>
    <w:rsid w:val="21AA7BF3"/>
    <w:rsid w:val="21BE2CFB"/>
    <w:rsid w:val="21FB4FF2"/>
    <w:rsid w:val="22174B37"/>
    <w:rsid w:val="22632D9F"/>
    <w:rsid w:val="22AE578D"/>
    <w:rsid w:val="22AF2235"/>
    <w:rsid w:val="22E928E6"/>
    <w:rsid w:val="23025951"/>
    <w:rsid w:val="23533A67"/>
    <w:rsid w:val="236A78B5"/>
    <w:rsid w:val="23803828"/>
    <w:rsid w:val="23BC35D7"/>
    <w:rsid w:val="24012594"/>
    <w:rsid w:val="2413599E"/>
    <w:rsid w:val="246751E9"/>
    <w:rsid w:val="24763215"/>
    <w:rsid w:val="24765B0F"/>
    <w:rsid w:val="249E0BC2"/>
    <w:rsid w:val="24B10316"/>
    <w:rsid w:val="24E6752C"/>
    <w:rsid w:val="24FB5253"/>
    <w:rsid w:val="25621D5C"/>
    <w:rsid w:val="257126F2"/>
    <w:rsid w:val="25F80C89"/>
    <w:rsid w:val="26414697"/>
    <w:rsid w:val="26566513"/>
    <w:rsid w:val="26664E1B"/>
    <w:rsid w:val="26A7586F"/>
    <w:rsid w:val="26AC1849"/>
    <w:rsid w:val="26C64B05"/>
    <w:rsid w:val="26F5142A"/>
    <w:rsid w:val="26FF3B17"/>
    <w:rsid w:val="27126589"/>
    <w:rsid w:val="272F6449"/>
    <w:rsid w:val="27435D7D"/>
    <w:rsid w:val="27BA42E7"/>
    <w:rsid w:val="27C616D2"/>
    <w:rsid w:val="27C76682"/>
    <w:rsid w:val="27CB1832"/>
    <w:rsid w:val="27DD790A"/>
    <w:rsid w:val="281C41D3"/>
    <w:rsid w:val="2824776B"/>
    <w:rsid w:val="282835C4"/>
    <w:rsid w:val="285C449A"/>
    <w:rsid w:val="28770324"/>
    <w:rsid w:val="28807248"/>
    <w:rsid w:val="28AC0C89"/>
    <w:rsid w:val="28C55083"/>
    <w:rsid w:val="28DB741F"/>
    <w:rsid w:val="28E031F7"/>
    <w:rsid w:val="290043AF"/>
    <w:rsid w:val="2929264D"/>
    <w:rsid w:val="29391455"/>
    <w:rsid w:val="294B54A9"/>
    <w:rsid w:val="29A24C52"/>
    <w:rsid w:val="29A72D10"/>
    <w:rsid w:val="29C75CB3"/>
    <w:rsid w:val="29CB765C"/>
    <w:rsid w:val="2A2626BC"/>
    <w:rsid w:val="2A392506"/>
    <w:rsid w:val="2A8F792B"/>
    <w:rsid w:val="2AAF4A1B"/>
    <w:rsid w:val="2AEF0B65"/>
    <w:rsid w:val="2B1B4FFB"/>
    <w:rsid w:val="2B457FE9"/>
    <w:rsid w:val="2B4E3FCD"/>
    <w:rsid w:val="2C2A2E25"/>
    <w:rsid w:val="2C455E0C"/>
    <w:rsid w:val="2C503BE5"/>
    <w:rsid w:val="2CA1675F"/>
    <w:rsid w:val="2CBA3CEE"/>
    <w:rsid w:val="2D13593E"/>
    <w:rsid w:val="2D2747C4"/>
    <w:rsid w:val="2D3D5760"/>
    <w:rsid w:val="2D704B2A"/>
    <w:rsid w:val="2D772050"/>
    <w:rsid w:val="2DF97D72"/>
    <w:rsid w:val="2E152ACD"/>
    <w:rsid w:val="2E4544DE"/>
    <w:rsid w:val="2E4D2D6D"/>
    <w:rsid w:val="2E64276B"/>
    <w:rsid w:val="2E7B1840"/>
    <w:rsid w:val="2E814DEB"/>
    <w:rsid w:val="2EB949ED"/>
    <w:rsid w:val="2EC01828"/>
    <w:rsid w:val="2EC33D8E"/>
    <w:rsid w:val="2ED24412"/>
    <w:rsid w:val="2EED1894"/>
    <w:rsid w:val="2EF473A0"/>
    <w:rsid w:val="2F01323F"/>
    <w:rsid w:val="2F1D2D71"/>
    <w:rsid w:val="2F383E2C"/>
    <w:rsid w:val="2F4B0F86"/>
    <w:rsid w:val="2F5E5D53"/>
    <w:rsid w:val="2F686AD9"/>
    <w:rsid w:val="2FB02522"/>
    <w:rsid w:val="300A3B92"/>
    <w:rsid w:val="301012C5"/>
    <w:rsid w:val="3045026D"/>
    <w:rsid w:val="30466CDD"/>
    <w:rsid w:val="305F3622"/>
    <w:rsid w:val="306849A6"/>
    <w:rsid w:val="30A12387"/>
    <w:rsid w:val="30B07FCF"/>
    <w:rsid w:val="30BA242F"/>
    <w:rsid w:val="30D61ABA"/>
    <w:rsid w:val="30F878AC"/>
    <w:rsid w:val="31005E95"/>
    <w:rsid w:val="312C10F5"/>
    <w:rsid w:val="315F16D9"/>
    <w:rsid w:val="31625E07"/>
    <w:rsid w:val="31717D8A"/>
    <w:rsid w:val="318068BD"/>
    <w:rsid w:val="31842CCC"/>
    <w:rsid w:val="31C24560"/>
    <w:rsid w:val="320312D0"/>
    <w:rsid w:val="32085AE3"/>
    <w:rsid w:val="32264D7D"/>
    <w:rsid w:val="32735C84"/>
    <w:rsid w:val="32A64354"/>
    <w:rsid w:val="32AA5CF9"/>
    <w:rsid w:val="330916F6"/>
    <w:rsid w:val="33140E1D"/>
    <w:rsid w:val="338136C9"/>
    <w:rsid w:val="33A31D51"/>
    <w:rsid w:val="33B82F69"/>
    <w:rsid w:val="33CD1695"/>
    <w:rsid w:val="3401681C"/>
    <w:rsid w:val="341C3BC7"/>
    <w:rsid w:val="34200AC3"/>
    <w:rsid w:val="34913A96"/>
    <w:rsid w:val="34B060B9"/>
    <w:rsid w:val="34BB05A9"/>
    <w:rsid w:val="34C7229A"/>
    <w:rsid w:val="34F85E5F"/>
    <w:rsid w:val="353A5FA1"/>
    <w:rsid w:val="35CE02CD"/>
    <w:rsid w:val="35D04C4E"/>
    <w:rsid w:val="35DF4C22"/>
    <w:rsid w:val="360F2D06"/>
    <w:rsid w:val="367E5D6D"/>
    <w:rsid w:val="369272CE"/>
    <w:rsid w:val="37013FCE"/>
    <w:rsid w:val="37252417"/>
    <w:rsid w:val="373A2B38"/>
    <w:rsid w:val="373D2FD0"/>
    <w:rsid w:val="37420A57"/>
    <w:rsid w:val="37431EDD"/>
    <w:rsid w:val="375B3C95"/>
    <w:rsid w:val="37C859DF"/>
    <w:rsid w:val="37F56539"/>
    <w:rsid w:val="38077F6A"/>
    <w:rsid w:val="3835453C"/>
    <w:rsid w:val="38C1696E"/>
    <w:rsid w:val="391010D0"/>
    <w:rsid w:val="395B13F5"/>
    <w:rsid w:val="397D6DB3"/>
    <w:rsid w:val="398546BA"/>
    <w:rsid w:val="39BE6361"/>
    <w:rsid w:val="39CC1B60"/>
    <w:rsid w:val="39E149F9"/>
    <w:rsid w:val="3A5127DC"/>
    <w:rsid w:val="3A59585F"/>
    <w:rsid w:val="3A887134"/>
    <w:rsid w:val="3A9A3567"/>
    <w:rsid w:val="3AEA6C56"/>
    <w:rsid w:val="3AF1654D"/>
    <w:rsid w:val="3B0F585D"/>
    <w:rsid w:val="3B5D38BB"/>
    <w:rsid w:val="3B6F02A6"/>
    <w:rsid w:val="3C3456B4"/>
    <w:rsid w:val="3CA21BCE"/>
    <w:rsid w:val="3CF669D6"/>
    <w:rsid w:val="3D4A2B96"/>
    <w:rsid w:val="3D654F12"/>
    <w:rsid w:val="3DD1489E"/>
    <w:rsid w:val="3E114112"/>
    <w:rsid w:val="3E3F4227"/>
    <w:rsid w:val="3E5D7B5B"/>
    <w:rsid w:val="3E611B5E"/>
    <w:rsid w:val="3E7C0FF3"/>
    <w:rsid w:val="3EC51C60"/>
    <w:rsid w:val="3ECE68E7"/>
    <w:rsid w:val="3EDA6FEC"/>
    <w:rsid w:val="3EEC410D"/>
    <w:rsid w:val="3EFC4B74"/>
    <w:rsid w:val="3F0008B2"/>
    <w:rsid w:val="3F395966"/>
    <w:rsid w:val="3F4A23E5"/>
    <w:rsid w:val="3F6F7798"/>
    <w:rsid w:val="3F845F4F"/>
    <w:rsid w:val="3FDF2A4E"/>
    <w:rsid w:val="3FE56278"/>
    <w:rsid w:val="3FFE6594"/>
    <w:rsid w:val="40036E1F"/>
    <w:rsid w:val="40D3552A"/>
    <w:rsid w:val="40D763ED"/>
    <w:rsid w:val="41236323"/>
    <w:rsid w:val="412912C3"/>
    <w:rsid w:val="414B48CA"/>
    <w:rsid w:val="415D3B36"/>
    <w:rsid w:val="41633653"/>
    <w:rsid w:val="41783490"/>
    <w:rsid w:val="418C00D1"/>
    <w:rsid w:val="419504C1"/>
    <w:rsid w:val="421A502B"/>
    <w:rsid w:val="423004C9"/>
    <w:rsid w:val="42301411"/>
    <w:rsid w:val="425B7777"/>
    <w:rsid w:val="42823148"/>
    <w:rsid w:val="42B53034"/>
    <w:rsid w:val="42C85304"/>
    <w:rsid w:val="42CF6D4A"/>
    <w:rsid w:val="42EA30B1"/>
    <w:rsid w:val="43051FA3"/>
    <w:rsid w:val="43174AB9"/>
    <w:rsid w:val="43422D96"/>
    <w:rsid w:val="43AC3BF9"/>
    <w:rsid w:val="43B930F8"/>
    <w:rsid w:val="43C264DC"/>
    <w:rsid w:val="43CD5718"/>
    <w:rsid w:val="43EF47DE"/>
    <w:rsid w:val="44214788"/>
    <w:rsid w:val="4454181F"/>
    <w:rsid w:val="44544CF1"/>
    <w:rsid w:val="4486098A"/>
    <w:rsid w:val="448765F1"/>
    <w:rsid w:val="44A55DFF"/>
    <w:rsid w:val="44AE3515"/>
    <w:rsid w:val="4535442A"/>
    <w:rsid w:val="45367E2E"/>
    <w:rsid w:val="454964A8"/>
    <w:rsid w:val="45575091"/>
    <w:rsid w:val="45A73B8A"/>
    <w:rsid w:val="45BF58D1"/>
    <w:rsid w:val="45D95AA6"/>
    <w:rsid w:val="45EC7F2B"/>
    <w:rsid w:val="45F65CF5"/>
    <w:rsid w:val="46013557"/>
    <w:rsid w:val="46181CFE"/>
    <w:rsid w:val="461E2BFD"/>
    <w:rsid w:val="4631170D"/>
    <w:rsid w:val="464777B9"/>
    <w:rsid w:val="46B34549"/>
    <w:rsid w:val="46EF7761"/>
    <w:rsid w:val="46F6518D"/>
    <w:rsid w:val="46FD21C7"/>
    <w:rsid w:val="47344325"/>
    <w:rsid w:val="4756141A"/>
    <w:rsid w:val="47571B04"/>
    <w:rsid w:val="476F03F7"/>
    <w:rsid w:val="47760C11"/>
    <w:rsid w:val="479166A3"/>
    <w:rsid w:val="48163D83"/>
    <w:rsid w:val="483004BB"/>
    <w:rsid w:val="484F656B"/>
    <w:rsid w:val="48CF5ACE"/>
    <w:rsid w:val="48D36672"/>
    <w:rsid w:val="49044BE8"/>
    <w:rsid w:val="49150212"/>
    <w:rsid w:val="492D5197"/>
    <w:rsid w:val="494D42D7"/>
    <w:rsid w:val="495B436F"/>
    <w:rsid w:val="496D1B2E"/>
    <w:rsid w:val="49A66458"/>
    <w:rsid w:val="49E27320"/>
    <w:rsid w:val="4A784500"/>
    <w:rsid w:val="4AC615D3"/>
    <w:rsid w:val="4AD15A47"/>
    <w:rsid w:val="4AE140F5"/>
    <w:rsid w:val="4B4A1D25"/>
    <w:rsid w:val="4B6132A4"/>
    <w:rsid w:val="4B7B4D8D"/>
    <w:rsid w:val="4BA04482"/>
    <w:rsid w:val="4BC47A4D"/>
    <w:rsid w:val="4BDA6FFC"/>
    <w:rsid w:val="4BDD1EFF"/>
    <w:rsid w:val="4BF53578"/>
    <w:rsid w:val="4C0807B0"/>
    <w:rsid w:val="4C3B79CF"/>
    <w:rsid w:val="4CD25333"/>
    <w:rsid w:val="4CE4459E"/>
    <w:rsid w:val="4D0A7712"/>
    <w:rsid w:val="4D5D52AC"/>
    <w:rsid w:val="4DA62E92"/>
    <w:rsid w:val="4DE25BF7"/>
    <w:rsid w:val="4E07362D"/>
    <w:rsid w:val="4E7B0C8A"/>
    <w:rsid w:val="4EA57D8B"/>
    <w:rsid w:val="4EBA028F"/>
    <w:rsid w:val="4F1418FD"/>
    <w:rsid w:val="4F4A4953"/>
    <w:rsid w:val="4F5D10A8"/>
    <w:rsid w:val="4F6665FD"/>
    <w:rsid w:val="4FA60AAE"/>
    <w:rsid w:val="4FAF5EF0"/>
    <w:rsid w:val="4FB676D9"/>
    <w:rsid w:val="4FDB06D2"/>
    <w:rsid w:val="4FFD7B12"/>
    <w:rsid w:val="50203AD0"/>
    <w:rsid w:val="50611ADF"/>
    <w:rsid w:val="506C6B03"/>
    <w:rsid w:val="507A12C8"/>
    <w:rsid w:val="50BD740F"/>
    <w:rsid w:val="50D05747"/>
    <w:rsid w:val="50D95990"/>
    <w:rsid w:val="50FA691B"/>
    <w:rsid w:val="510F1C3C"/>
    <w:rsid w:val="511677FE"/>
    <w:rsid w:val="51281690"/>
    <w:rsid w:val="516D3A5C"/>
    <w:rsid w:val="518F4D47"/>
    <w:rsid w:val="51A0120A"/>
    <w:rsid w:val="51A056F2"/>
    <w:rsid w:val="51A62256"/>
    <w:rsid w:val="51BF51C3"/>
    <w:rsid w:val="520D4383"/>
    <w:rsid w:val="523744B1"/>
    <w:rsid w:val="52392E23"/>
    <w:rsid w:val="523C0EC6"/>
    <w:rsid w:val="524617DC"/>
    <w:rsid w:val="52806EC8"/>
    <w:rsid w:val="528B0128"/>
    <w:rsid w:val="52F201A7"/>
    <w:rsid w:val="52FA55B1"/>
    <w:rsid w:val="53094079"/>
    <w:rsid w:val="53275046"/>
    <w:rsid w:val="53510EB9"/>
    <w:rsid w:val="5376358C"/>
    <w:rsid w:val="54052718"/>
    <w:rsid w:val="541256A8"/>
    <w:rsid w:val="547E645A"/>
    <w:rsid w:val="54A71C86"/>
    <w:rsid w:val="54A73B3A"/>
    <w:rsid w:val="54AD4C05"/>
    <w:rsid w:val="54DF110B"/>
    <w:rsid w:val="55124CA5"/>
    <w:rsid w:val="5516416C"/>
    <w:rsid w:val="552959EB"/>
    <w:rsid w:val="55B1566E"/>
    <w:rsid w:val="55C20951"/>
    <w:rsid w:val="55C92356"/>
    <w:rsid w:val="56005AEA"/>
    <w:rsid w:val="562F19BA"/>
    <w:rsid w:val="565D7F29"/>
    <w:rsid w:val="56CB3012"/>
    <w:rsid w:val="570C4C31"/>
    <w:rsid w:val="572515C9"/>
    <w:rsid w:val="57327266"/>
    <w:rsid w:val="578161E0"/>
    <w:rsid w:val="5796200E"/>
    <w:rsid w:val="57A41402"/>
    <w:rsid w:val="57A97785"/>
    <w:rsid w:val="57CD3F1A"/>
    <w:rsid w:val="57D03585"/>
    <w:rsid w:val="57FC5D75"/>
    <w:rsid w:val="580A5802"/>
    <w:rsid w:val="58395E34"/>
    <w:rsid w:val="58B663C5"/>
    <w:rsid w:val="58E629E9"/>
    <w:rsid w:val="594D3F55"/>
    <w:rsid w:val="59576942"/>
    <w:rsid w:val="59663DF8"/>
    <w:rsid w:val="597E4D8C"/>
    <w:rsid w:val="59EF5904"/>
    <w:rsid w:val="59F01077"/>
    <w:rsid w:val="59FA2D89"/>
    <w:rsid w:val="5A3445DE"/>
    <w:rsid w:val="5A37562D"/>
    <w:rsid w:val="5A521E17"/>
    <w:rsid w:val="5AA31F13"/>
    <w:rsid w:val="5AA32FAC"/>
    <w:rsid w:val="5BE80E8B"/>
    <w:rsid w:val="5C082C83"/>
    <w:rsid w:val="5C1F71D7"/>
    <w:rsid w:val="5C400E62"/>
    <w:rsid w:val="5C753FB9"/>
    <w:rsid w:val="5CC43BF9"/>
    <w:rsid w:val="5CDC6D58"/>
    <w:rsid w:val="5CF838A4"/>
    <w:rsid w:val="5D0E2352"/>
    <w:rsid w:val="5D2754FD"/>
    <w:rsid w:val="5D750C36"/>
    <w:rsid w:val="5DC150C6"/>
    <w:rsid w:val="5DD32D2E"/>
    <w:rsid w:val="5DED6BD5"/>
    <w:rsid w:val="5E136C35"/>
    <w:rsid w:val="5E2549D7"/>
    <w:rsid w:val="5E466C37"/>
    <w:rsid w:val="5E696B48"/>
    <w:rsid w:val="5E8D47F6"/>
    <w:rsid w:val="5EA722AC"/>
    <w:rsid w:val="5EFF1E1E"/>
    <w:rsid w:val="5F0C3ED2"/>
    <w:rsid w:val="5F3F6522"/>
    <w:rsid w:val="5F4973A1"/>
    <w:rsid w:val="5F6E059E"/>
    <w:rsid w:val="5F7D24A6"/>
    <w:rsid w:val="5F7E0196"/>
    <w:rsid w:val="5FCA6CBB"/>
    <w:rsid w:val="60285208"/>
    <w:rsid w:val="603C2321"/>
    <w:rsid w:val="60563BCB"/>
    <w:rsid w:val="60574DE3"/>
    <w:rsid w:val="605A3564"/>
    <w:rsid w:val="60E95890"/>
    <w:rsid w:val="60ED4A7E"/>
    <w:rsid w:val="60F32656"/>
    <w:rsid w:val="61482125"/>
    <w:rsid w:val="61B708C3"/>
    <w:rsid w:val="62306C2E"/>
    <w:rsid w:val="62490087"/>
    <w:rsid w:val="628D4D37"/>
    <w:rsid w:val="62A2677D"/>
    <w:rsid w:val="62DE79C9"/>
    <w:rsid w:val="637577EB"/>
    <w:rsid w:val="63DE2FD2"/>
    <w:rsid w:val="640F2187"/>
    <w:rsid w:val="642E7C43"/>
    <w:rsid w:val="644316D3"/>
    <w:rsid w:val="644A456D"/>
    <w:rsid w:val="644A5F59"/>
    <w:rsid w:val="64A97FE7"/>
    <w:rsid w:val="64E6245C"/>
    <w:rsid w:val="64F642EB"/>
    <w:rsid w:val="654021B3"/>
    <w:rsid w:val="654A5B17"/>
    <w:rsid w:val="654B3B75"/>
    <w:rsid w:val="655E5CCC"/>
    <w:rsid w:val="657938F5"/>
    <w:rsid w:val="65880DE3"/>
    <w:rsid w:val="65C23C8B"/>
    <w:rsid w:val="66040983"/>
    <w:rsid w:val="66AA2263"/>
    <w:rsid w:val="66AC139B"/>
    <w:rsid w:val="66B651D1"/>
    <w:rsid w:val="67053F97"/>
    <w:rsid w:val="671250BE"/>
    <w:rsid w:val="67246DD4"/>
    <w:rsid w:val="67391E53"/>
    <w:rsid w:val="674A5BC5"/>
    <w:rsid w:val="675A6730"/>
    <w:rsid w:val="67B43867"/>
    <w:rsid w:val="67C63EE6"/>
    <w:rsid w:val="67CA3270"/>
    <w:rsid w:val="681E5857"/>
    <w:rsid w:val="68213FAA"/>
    <w:rsid w:val="68237221"/>
    <w:rsid w:val="682A66C2"/>
    <w:rsid w:val="6848251B"/>
    <w:rsid w:val="686A5E7C"/>
    <w:rsid w:val="68F36AC7"/>
    <w:rsid w:val="69083B28"/>
    <w:rsid w:val="696D7195"/>
    <w:rsid w:val="69A422AA"/>
    <w:rsid w:val="69FB5EC2"/>
    <w:rsid w:val="6A017CB8"/>
    <w:rsid w:val="6A394411"/>
    <w:rsid w:val="6A3E32A9"/>
    <w:rsid w:val="6A4C78B8"/>
    <w:rsid w:val="6A650D71"/>
    <w:rsid w:val="6A734D2C"/>
    <w:rsid w:val="6A7554EE"/>
    <w:rsid w:val="6A7F5332"/>
    <w:rsid w:val="6AAE7282"/>
    <w:rsid w:val="6B0A6288"/>
    <w:rsid w:val="6B1159CD"/>
    <w:rsid w:val="6B57596B"/>
    <w:rsid w:val="6B584AAC"/>
    <w:rsid w:val="6BA56C03"/>
    <w:rsid w:val="6BAA3DA4"/>
    <w:rsid w:val="6C6C5E84"/>
    <w:rsid w:val="6C897AD9"/>
    <w:rsid w:val="6C9B7887"/>
    <w:rsid w:val="6CC72444"/>
    <w:rsid w:val="6D136ABB"/>
    <w:rsid w:val="6D26688B"/>
    <w:rsid w:val="6D421B8F"/>
    <w:rsid w:val="6D9A39A9"/>
    <w:rsid w:val="6DD93399"/>
    <w:rsid w:val="6E0A58FC"/>
    <w:rsid w:val="6E20252E"/>
    <w:rsid w:val="6E6F7134"/>
    <w:rsid w:val="6E8D6E01"/>
    <w:rsid w:val="6E9E25BB"/>
    <w:rsid w:val="6EBD1212"/>
    <w:rsid w:val="6ECE4FF5"/>
    <w:rsid w:val="6ED47835"/>
    <w:rsid w:val="6F5C3BA2"/>
    <w:rsid w:val="6F65081F"/>
    <w:rsid w:val="6FD2056A"/>
    <w:rsid w:val="6FF743D7"/>
    <w:rsid w:val="702D6254"/>
    <w:rsid w:val="702E23C7"/>
    <w:rsid w:val="704C0A9F"/>
    <w:rsid w:val="707A1AB0"/>
    <w:rsid w:val="708D524D"/>
    <w:rsid w:val="70BB6EA2"/>
    <w:rsid w:val="71143263"/>
    <w:rsid w:val="713B585D"/>
    <w:rsid w:val="715F48D7"/>
    <w:rsid w:val="71746D3B"/>
    <w:rsid w:val="71C607AE"/>
    <w:rsid w:val="71CB42F4"/>
    <w:rsid w:val="71D65228"/>
    <w:rsid w:val="71FD7CBD"/>
    <w:rsid w:val="72006369"/>
    <w:rsid w:val="720724EF"/>
    <w:rsid w:val="720F447A"/>
    <w:rsid w:val="721277AC"/>
    <w:rsid w:val="721A3E00"/>
    <w:rsid w:val="7259540F"/>
    <w:rsid w:val="72717881"/>
    <w:rsid w:val="72AE3C93"/>
    <w:rsid w:val="72EC61AE"/>
    <w:rsid w:val="72F3599A"/>
    <w:rsid w:val="7321017E"/>
    <w:rsid w:val="73682B8A"/>
    <w:rsid w:val="73685BF0"/>
    <w:rsid w:val="736B3932"/>
    <w:rsid w:val="738051F2"/>
    <w:rsid w:val="73816D3A"/>
    <w:rsid w:val="73854B30"/>
    <w:rsid w:val="73BC25A8"/>
    <w:rsid w:val="73D96241"/>
    <w:rsid w:val="740A6EEC"/>
    <w:rsid w:val="74324C48"/>
    <w:rsid w:val="7452612F"/>
    <w:rsid w:val="74792966"/>
    <w:rsid w:val="747B6DC4"/>
    <w:rsid w:val="7491350C"/>
    <w:rsid w:val="74951A5D"/>
    <w:rsid w:val="74C85BCC"/>
    <w:rsid w:val="74E060D9"/>
    <w:rsid w:val="74F30381"/>
    <w:rsid w:val="757A6EFB"/>
    <w:rsid w:val="75E72CC8"/>
    <w:rsid w:val="76214302"/>
    <w:rsid w:val="763C5E8D"/>
    <w:rsid w:val="764B6F50"/>
    <w:rsid w:val="769531DE"/>
    <w:rsid w:val="76A24C9B"/>
    <w:rsid w:val="76C81625"/>
    <w:rsid w:val="76E973BD"/>
    <w:rsid w:val="76F44183"/>
    <w:rsid w:val="76F462BF"/>
    <w:rsid w:val="773C4F6C"/>
    <w:rsid w:val="773E51B4"/>
    <w:rsid w:val="776B35C0"/>
    <w:rsid w:val="777A790A"/>
    <w:rsid w:val="77A26E58"/>
    <w:rsid w:val="77E6002F"/>
    <w:rsid w:val="78045C7B"/>
    <w:rsid w:val="78193A9C"/>
    <w:rsid w:val="781D18F0"/>
    <w:rsid w:val="785F6FE3"/>
    <w:rsid w:val="785F7114"/>
    <w:rsid w:val="786D1EFA"/>
    <w:rsid w:val="7890668A"/>
    <w:rsid w:val="78F56548"/>
    <w:rsid w:val="79206045"/>
    <w:rsid w:val="792B25FB"/>
    <w:rsid w:val="79A01CCD"/>
    <w:rsid w:val="79E43C19"/>
    <w:rsid w:val="79FE0DE3"/>
    <w:rsid w:val="7A191868"/>
    <w:rsid w:val="7A572F20"/>
    <w:rsid w:val="7A7018BB"/>
    <w:rsid w:val="7A9545C0"/>
    <w:rsid w:val="7ACA0E6D"/>
    <w:rsid w:val="7AE24768"/>
    <w:rsid w:val="7B1A6F01"/>
    <w:rsid w:val="7B326C9D"/>
    <w:rsid w:val="7B553349"/>
    <w:rsid w:val="7B947920"/>
    <w:rsid w:val="7BAF7AE2"/>
    <w:rsid w:val="7BB50A3A"/>
    <w:rsid w:val="7C094280"/>
    <w:rsid w:val="7C3C7E0A"/>
    <w:rsid w:val="7C686925"/>
    <w:rsid w:val="7C6B3589"/>
    <w:rsid w:val="7C7B13FB"/>
    <w:rsid w:val="7C9E2E12"/>
    <w:rsid w:val="7CAA0983"/>
    <w:rsid w:val="7CDC5382"/>
    <w:rsid w:val="7CDD29AA"/>
    <w:rsid w:val="7D4B2218"/>
    <w:rsid w:val="7D58148F"/>
    <w:rsid w:val="7D6B00B8"/>
    <w:rsid w:val="7D6E6986"/>
    <w:rsid w:val="7DA261A2"/>
    <w:rsid w:val="7DBA4C1A"/>
    <w:rsid w:val="7E3A47C4"/>
    <w:rsid w:val="7E3A4CA5"/>
    <w:rsid w:val="7E4F2D18"/>
    <w:rsid w:val="7E7F698E"/>
    <w:rsid w:val="7E8025D8"/>
    <w:rsid w:val="7E956EBF"/>
    <w:rsid w:val="7EA36676"/>
    <w:rsid w:val="7EB20A65"/>
    <w:rsid w:val="7ECC6AB6"/>
    <w:rsid w:val="7EF62D93"/>
    <w:rsid w:val="7F1258F2"/>
    <w:rsid w:val="7F384026"/>
    <w:rsid w:val="7F661F01"/>
    <w:rsid w:val="7F723881"/>
    <w:rsid w:val="7F80640E"/>
    <w:rsid w:val="7FAB79CB"/>
    <w:rsid w:val="7FC95138"/>
    <w:rsid w:val="7FCF5C51"/>
    <w:rsid w:val="7FE646B1"/>
    <w:rsid w:val="7FEF0F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autoRedefine/>
    <w:qFormat/>
    <w:uiPriority w:val="9"/>
    <w:pPr>
      <w:keepNext/>
      <w:keepLines/>
      <w:spacing w:before="260" w:after="260" w:line="416" w:lineRule="auto"/>
      <w:outlineLvl w:val="2"/>
    </w:pPr>
    <w:rPr>
      <w:b/>
      <w:bCs/>
      <w:sz w:val="32"/>
      <w:szCs w:val="32"/>
    </w:rPr>
  </w:style>
  <w:style w:type="character" w:default="1" w:styleId="19">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
    <w:basedOn w:val="1"/>
    <w:autoRedefine/>
    <w:qFormat/>
    <w:uiPriority w:val="0"/>
    <w:pPr>
      <w:ind w:left="110"/>
      <w:textAlignment w:val="baseline"/>
    </w:pPr>
    <w:rPr>
      <w:rFonts w:ascii="仿宋" w:hAnsi="仿宋" w:eastAsia="仿宋"/>
      <w:sz w:val="32"/>
      <w:szCs w:val="32"/>
    </w:rPr>
  </w:style>
  <w:style w:type="paragraph" w:styleId="6">
    <w:name w:val="Body Text"/>
    <w:basedOn w:val="1"/>
    <w:autoRedefine/>
    <w:qFormat/>
    <w:uiPriority w:val="1"/>
    <w:pPr>
      <w:ind w:left="169"/>
    </w:pPr>
    <w:rPr>
      <w:rFonts w:ascii="Arial Unicode MS" w:hAnsi="Arial Unicode MS" w:eastAsia="Arial Unicode MS" w:cs="Arial Unicode MS"/>
      <w:sz w:val="32"/>
      <w:szCs w:val="32"/>
      <w:lang w:val="zh-CN" w:bidi="zh-CN"/>
    </w:rPr>
  </w:style>
  <w:style w:type="paragraph" w:styleId="7">
    <w:name w:val="Body Text Indent"/>
    <w:basedOn w:val="1"/>
    <w:autoRedefine/>
    <w:unhideWhenUsed/>
    <w:qFormat/>
    <w:uiPriority w:val="99"/>
    <w:pPr>
      <w:ind w:left="420" w:leftChars="200"/>
    </w:pPr>
  </w:style>
  <w:style w:type="paragraph" w:styleId="8">
    <w:name w:val="toc 3"/>
    <w:basedOn w:val="1"/>
    <w:next w:val="1"/>
    <w:autoRedefine/>
    <w:qFormat/>
    <w:uiPriority w:val="0"/>
    <w:pPr>
      <w:ind w:left="840" w:leftChars="400"/>
    </w:pPr>
  </w:style>
  <w:style w:type="paragraph" w:styleId="9">
    <w:name w:val="Plain Text"/>
    <w:basedOn w:val="1"/>
    <w:autoRedefine/>
    <w:qFormat/>
    <w:uiPriority w:val="0"/>
    <w:rPr>
      <w:rFonts w:ascii="宋体" w:hAnsi="Courier New" w:eastAsia="宋体" w:cs="Times New Roman"/>
      <w:szCs w:val="21"/>
    </w:rPr>
  </w:style>
  <w:style w:type="paragraph" w:styleId="10">
    <w:name w:val="Balloon Text"/>
    <w:basedOn w:val="1"/>
    <w:link w:val="40"/>
    <w:autoRedefine/>
    <w:qFormat/>
    <w:uiPriority w:val="0"/>
    <w:rPr>
      <w:sz w:val="18"/>
      <w:szCs w:val="18"/>
    </w:rPr>
  </w:style>
  <w:style w:type="paragraph" w:styleId="11">
    <w:name w:val="footer"/>
    <w:basedOn w:val="1"/>
    <w:next w:val="12"/>
    <w:autoRedefine/>
    <w:qFormat/>
    <w:uiPriority w:val="0"/>
    <w:pPr>
      <w:tabs>
        <w:tab w:val="center" w:pos="4153"/>
        <w:tab w:val="right" w:pos="8306"/>
      </w:tabs>
      <w:snapToGrid w:val="0"/>
      <w:jc w:val="left"/>
    </w:pPr>
    <w:rPr>
      <w:sz w:val="18"/>
    </w:rPr>
  </w:style>
  <w:style w:type="paragraph" w:styleId="12">
    <w:name w:val="index 9"/>
    <w:basedOn w:val="1"/>
    <w:next w:val="1"/>
    <w:autoRedefine/>
    <w:qFormat/>
    <w:uiPriority w:val="0"/>
    <w:pPr>
      <w:ind w:left="3360"/>
    </w:p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0"/>
  </w:style>
  <w:style w:type="paragraph" w:styleId="15">
    <w:name w:val="toc 2"/>
    <w:basedOn w:val="1"/>
    <w:next w:val="1"/>
    <w:autoRedefine/>
    <w:qFormat/>
    <w:uiPriority w:val="0"/>
    <w:pPr>
      <w:ind w:left="420" w:leftChars="200"/>
    </w:pPr>
  </w:style>
  <w:style w:type="paragraph" w:styleId="16">
    <w:name w:val="Title"/>
    <w:basedOn w:val="1"/>
    <w:next w:val="1"/>
    <w:autoRedefine/>
    <w:qFormat/>
    <w:uiPriority w:val="0"/>
    <w:pPr>
      <w:jc w:val="center"/>
      <w:outlineLvl w:val="0"/>
    </w:pPr>
    <w:rPr>
      <w:rFonts w:ascii="仿宋" w:hAnsi="仿宋" w:eastAsia="Calibri"/>
      <w:b/>
      <w:bCs/>
      <w:sz w:val="44"/>
    </w:rPr>
  </w:style>
  <w:style w:type="paragraph" w:styleId="17">
    <w:name w:val="Body Text First Indent 2"/>
    <w:basedOn w:val="7"/>
    <w:autoRedefine/>
    <w:unhideWhenUsed/>
    <w:qFormat/>
    <w:uiPriority w:val="99"/>
    <w:pPr>
      <w:ind w:firstLine="420" w:firstLineChars="200"/>
    </w:pPr>
  </w:style>
  <w:style w:type="character" w:styleId="20">
    <w:name w:val="Strong"/>
    <w:basedOn w:val="19"/>
    <w:autoRedefine/>
    <w:qFormat/>
    <w:uiPriority w:val="0"/>
    <w:rPr>
      <w:b/>
    </w:rPr>
  </w:style>
  <w:style w:type="character" w:styleId="21">
    <w:name w:val="Hyperlink"/>
    <w:unhideWhenUsed/>
    <w:qFormat/>
    <w:uiPriority w:val="99"/>
    <w:rPr>
      <w:color w:val="0000FF"/>
      <w:u w:val="single"/>
    </w:rPr>
  </w:style>
  <w:style w:type="paragraph" w:customStyle="1" w:styleId="22">
    <w:name w:val="_Style 1"/>
    <w:basedOn w:val="1"/>
    <w:autoRedefine/>
    <w:qFormat/>
    <w:uiPriority w:val="0"/>
    <w:pPr>
      <w:ind w:firstLine="420" w:firstLineChars="200"/>
    </w:pPr>
  </w:style>
  <w:style w:type="paragraph" w:customStyle="1" w:styleId="23">
    <w:name w:val="Body text|1"/>
    <w:basedOn w:val="1"/>
    <w:autoRedefine/>
    <w:qFormat/>
    <w:uiPriority w:val="0"/>
    <w:pPr>
      <w:spacing w:after="480"/>
      <w:jc w:val="center"/>
    </w:pPr>
    <w:rPr>
      <w:rFonts w:ascii="宋体" w:hAnsi="宋体" w:eastAsia="宋体" w:cs="宋体"/>
      <w:sz w:val="28"/>
      <w:szCs w:val="28"/>
      <w:lang w:val="zh-TW" w:eastAsia="zh-TW" w:bidi="zh-TW"/>
    </w:rPr>
  </w:style>
  <w:style w:type="paragraph" w:customStyle="1" w:styleId="24">
    <w:name w:val="Header or footer|1"/>
    <w:basedOn w:val="1"/>
    <w:qFormat/>
    <w:uiPriority w:val="0"/>
    <w:pPr>
      <w:jc w:val="center"/>
    </w:pPr>
    <w:rPr>
      <w:sz w:val="18"/>
      <w:szCs w:val="18"/>
      <w:lang w:val="zh-TW" w:eastAsia="zh-TW" w:bidi="zh-TW"/>
    </w:rPr>
  </w:style>
  <w:style w:type="character" w:customStyle="1" w:styleId="25">
    <w:name w:val="font01"/>
    <w:basedOn w:val="19"/>
    <w:qFormat/>
    <w:uiPriority w:val="0"/>
    <w:rPr>
      <w:rFonts w:hint="eastAsia" w:ascii="宋体" w:hAnsi="宋体" w:eastAsia="宋体" w:cs="宋体"/>
      <w:color w:val="000000"/>
      <w:sz w:val="26"/>
      <w:szCs w:val="26"/>
      <w:u w:val="none"/>
    </w:rPr>
  </w:style>
  <w:style w:type="character" w:customStyle="1" w:styleId="26">
    <w:name w:val="font31"/>
    <w:basedOn w:val="19"/>
    <w:autoRedefine/>
    <w:qFormat/>
    <w:uiPriority w:val="0"/>
    <w:rPr>
      <w:rFonts w:hint="default" w:ascii="Times New Roman" w:hAnsi="Times New Roman" w:cs="Times New Roman"/>
      <w:color w:val="000000"/>
      <w:sz w:val="28"/>
      <w:szCs w:val="28"/>
      <w:u w:val="none"/>
    </w:rPr>
  </w:style>
  <w:style w:type="character" w:customStyle="1" w:styleId="27">
    <w:name w:val="font41"/>
    <w:basedOn w:val="19"/>
    <w:autoRedefine/>
    <w:qFormat/>
    <w:uiPriority w:val="0"/>
    <w:rPr>
      <w:rFonts w:hint="eastAsia" w:ascii="宋体" w:hAnsi="宋体" w:eastAsia="宋体" w:cs="宋体"/>
      <w:color w:val="000000"/>
      <w:sz w:val="28"/>
      <w:szCs w:val="28"/>
      <w:u w:val="none"/>
    </w:rPr>
  </w:style>
  <w:style w:type="character" w:customStyle="1" w:styleId="28">
    <w:name w:val="NormalCharacter"/>
    <w:autoRedefine/>
    <w:semiHidden/>
    <w:qFormat/>
    <w:uiPriority w:val="0"/>
    <w:rPr>
      <w:rFonts w:asciiTheme="minorHAnsi" w:hAnsiTheme="minorHAnsi" w:eastAsiaTheme="minorEastAsia" w:cstheme="minorBidi"/>
      <w:kern w:val="2"/>
      <w:sz w:val="21"/>
      <w:szCs w:val="24"/>
      <w:lang w:val="en-US" w:eastAsia="zh-CN" w:bidi="ar-SA"/>
    </w:rPr>
  </w:style>
  <w:style w:type="paragraph" w:customStyle="1" w:styleId="29">
    <w:name w:val="NormalIndent"/>
    <w:basedOn w:val="1"/>
    <w:next w:val="1"/>
    <w:qFormat/>
    <w:uiPriority w:val="0"/>
    <w:pPr>
      <w:ind w:firstLine="420" w:firstLineChars="200"/>
      <w:textAlignment w:val="baseline"/>
    </w:pPr>
  </w:style>
  <w:style w:type="paragraph" w:customStyle="1" w:styleId="30">
    <w:name w:val="Other|1"/>
    <w:basedOn w:val="1"/>
    <w:autoRedefine/>
    <w:qFormat/>
    <w:uiPriority w:val="0"/>
    <w:pPr>
      <w:spacing w:line="437" w:lineRule="auto"/>
      <w:ind w:firstLine="400"/>
    </w:pPr>
    <w:rPr>
      <w:rFonts w:ascii="宋体" w:hAnsi="宋体" w:eastAsia="宋体" w:cs="宋体"/>
      <w:sz w:val="30"/>
      <w:szCs w:val="30"/>
      <w:lang w:val="zh-TW" w:eastAsia="zh-TW" w:bidi="zh-TW"/>
    </w:rPr>
  </w:style>
  <w:style w:type="paragraph" w:customStyle="1" w:styleId="31">
    <w:name w:val="Heading #1|1"/>
    <w:basedOn w:val="1"/>
    <w:autoRedefine/>
    <w:qFormat/>
    <w:uiPriority w:val="0"/>
    <w:pPr>
      <w:spacing w:after="400"/>
      <w:jc w:val="center"/>
      <w:outlineLvl w:val="0"/>
    </w:pPr>
    <w:rPr>
      <w:rFonts w:ascii="宋体" w:hAnsi="宋体" w:eastAsia="宋体" w:cs="宋体"/>
      <w:sz w:val="32"/>
      <w:szCs w:val="32"/>
      <w:lang w:val="zh-TW" w:eastAsia="zh-TW" w:bidi="zh-TW"/>
    </w:rPr>
  </w:style>
  <w:style w:type="paragraph" w:customStyle="1" w:styleId="32">
    <w:name w:val="Table of contents|1"/>
    <w:basedOn w:val="1"/>
    <w:autoRedefine/>
    <w:qFormat/>
    <w:uiPriority w:val="0"/>
    <w:pPr>
      <w:spacing w:after="80"/>
    </w:pPr>
    <w:rPr>
      <w:rFonts w:ascii="宋体" w:hAnsi="宋体" w:eastAsia="宋体" w:cs="宋体"/>
      <w:lang w:val="zh-TW" w:eastAsia="zh-TW" w:bidi="zh-TW"/>
    </w:rPr>
  </w:style>
  <w:style w:type="character" w:customStyle="1" w:styleId="33">
    <w:name w:val="font11"/>
    <w:basedOn w:val="19"/>
    <w:autoRedefine/>
    <w:qFormat/>
    <w:uiPriority w:val="0"/>
    <w:rPr>
      <w:rFonts w:hint="eastAsia" w:ascii="宋体" w:hAnsi="宋体" w:eastAsia="宋体" w:cs="宋体"/>
      <w:color w:val="000000"/>
      <w:sz w:val="22"/>
      <w:szCs w:val="22"/>
      <w:u w:val="none"/>
    </w:rPr>
  </w:style>
  <w:style w:type="character" w:customStyle="1" w:styleId="34">
    <w:name w:val="font21"/>
    <w:basedOn w:val="19"/>
    <w:autoRedefine/>
    <w:qFormat/>
    <w:uiPriority w:val="0"/>
    <w:rPr>
      <w:rFonts w:hint="default" w:ascii="Arial" w:hAnsi="Arial" w:cs="Arial"/>
      <w:color w:val="000000"/>
      <w:sz w:val="22"/>
      <w:szCs w:val="22"/>
      <w:u w:val="none"/>
    </w:rPr>
  </w:style>
  <w:style w:type="character" w:customStyle="1" w:styleId="35">
    <w:name w:val="font51"/>
    <w:basedOn w:val="19"/>
    <w:qFormat/>
    <w:uiPriority w:val="0"/>
    <w:rPr>
      <w:rFonts w:hint="default" w:ascii="Arial" w:hAnsi="Arial" w:cs="Arial"/>
      <w:color w:val="000000"/>
      <w:sz w:val="22"/>
      <w:szCs w:val="22"/>
      <w:u w:val="none"/>
    </w:rPr>
  </w:style>
  <w:style w:type="paragraph" w:customStyle="1" w:styleId="36">
    <w:name w:val="WPSOffice手动目录 1"/>
    <w:qFormat/>
    <w:uiPriority w:val="0"/>
    <w:rPr>
      <w:rFonts w:ascii="Times New Roman" w:hAnsi="Times New Roman" w:eastAsia="宋体" w:cs="Times New Roman"/>
      <w:lang w:val="en-US" w:eastAsia="zh-CN" w:bidi="ar-SA"/>
    </w:rPr>
  </w:style>
  <w:style w:type="paragraph" w:customStyle="1" w:styleId="37">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38">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39">
    <w:name w:val="_Style 2"/>
    <w:basedOn w:val="3"/>
    <w:next w:val="1"/>
    <w:qFormat/>
    <w:uiPriority w:val="39"/>
    <w:pPr>
      <w:widowControl/>
      <w:spacing w:before="240" w:after="0" w:line="259" w:lineRule="auto"/>
      <w:jc w:val="left"/>
      <w:outlineLvl w:val="9"/>
    </w:pPr>
    <w:rPr>
      <w:rFonts w:ascii="等线" w:hAnsi="等线" w:eastAsia="等线" w:cs="Cambria Math"/>
      <w:b w:val="0"/>
      <w:bCs w:val="0"/>
      <w:color w:val="2F5496"/>
      <w:kern w:val="0"/>
      <w:sz w:val="32"/>
      <w:szCs w:val="32"/>
    </w:rPr>
  </w:style>
  <w:style w:type="character" w:customStyle="1" w:styleId="40">
    <w:name w:val="批注框文本 Char"/>
    <w:basedOn w:val="19"/>
    <w:link w:val="10"/>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11567</Words>
  <Characters>12653</Characters>
  <Lines>132</Lines>
  <Paragraphs>37</Paragraphs>
  <TotalTime>16</TotalTime>
  <ScaleCrop>false</ScaleCrop>
  <LinksUpToDate>false</LinksUpToDate>
  <CharactersWithSpaces>12747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2021-11-28T11:06:00Z</dcterms:created>
  <dc:creator>Administrator</dc:creator>
  <cp:lastModifiedBy>lenovo</cp:lastModifiedBy>
  <cp:lastPrinted>2023-09-26T02:00:00Z</cp:lastPrinted>
  <dcterms:modified xsi:type="dcterms:W3CDTF">2025-01-15T03:26:41Z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7F34A94555F44A6196830747837BC0BC</vt:lpwstr>
  </property>
  <property fmtid="{D5CDD505-2E9C-101B-9397-08002B2CF9AE}" pid="4" name="KSOTemplateDocerSaveRecord">
    <vt:lpwstr>eyJoZGlkIjoiNjZlYzM0NzUwOWZhYjM3OTU2MGE1Y2M5YzgxODY1M2YifQ==</vt:lpwstr>
  </property>
</Properties>
</file>