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C38EE">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default" w:ascii="Times New Roman" w:hAnsi="Times New Roman" w:eastAsia="黑体" w:cs="Times New Roman"/>
          <w:spacing w:val="-6"/>
          <w:sz w:val="32"/>
          <w:szCs w:val="32"/>
          <w:highlight w:val="none"/>
          <w:lang w:val="en-US" w:eastAsia="zh-CN"/>
        </w:rPr>
      </w:pPr>
      <w:r>
        <w:rPr>
          <w:rFonts w:hint="default" w:ascii="Times New Roman" w:hAnsi="Times New Roman" w:eastAsia="黑体" w:cs="Times New Roman"/>
          <w:spacing w:val="-6"/>
          <w:sz w:val="32"/>
          <w:szCs w:val="32"/>
          <w:highlight w:val="none"/>
          <w:lang w:val="en-US" w:eastAsia="zh-CN"/>
        </w:rPr>
        <w:t>附件</w:t>
      </w:r>
    </w:p>
    <w:p w14:paraId="56D16071">
      <w:pPr>
        <w:pStyle w:val="2"/>
        <w:rPr>
          <w:rFonts w:hint="default" w:ascii="Times New Roman" w:hAnsi="Times New Roman" w:cs="Times New Roman"/>
          <w:lang w:val="en-US" w:eastAsia="zh-CN"/>
        </w:rPr>
      </w:pPr>
    </w:p>
    <w:p w14:paraId="3DC4052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pacing w:val="-6"/>
          <w:sz w:val="44"/>
          <w:szCs w:val="44"/>
          <w:highlight w:val="none"/>
        </w:rPr>
      </w:pPr>
      <w:r>
        <w:rPr>
          <w:rFonts w:hint="default" w:ascii="Times New Roman" w:hAnsi="Times New Roman" w:eastAsia="方正小标宋简体" w:cs="Times New Roman"/>
          <w:spacing w:val="-6"/>
          <w:sz w:val="44"/>
          <w:szCs w:val="44"/>
          <w:highlight w:val="none"/>
        </w:rPr>
        <w:t>霞山区区直行政事业单位国有资产处置</w:t>
      </w:r>
    </w:p>
    <w:p w14:paraId="131793A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Times New Roman"/>
          <w:spacing w:val="-6"/>
          <w:sz w:val="44"/>
          <w:szCs w:val="44"/>
          <w:highlight w:val="none"/>
          <w:lang w:eastAsia="zh-CN"/>
        </w:rPr>
      </w:pPr>
      <w:r>
        <w:rPr>
          <w:rFonts w:hint="default" w:ascii="Times New Roman" w:hAnsi="Times New Roman" w:eastAsia="方正小标宋简体" w:cs="Times New Roman"/>
          <w:spacing w:val="-6"/>
          <w:sz w:val="44"/>
          <w:szCs w:val="44"/>
          <w:highlight w:val="none"/>
        </w:rPr>
        <w:t>管理暂行办法</w:t>
      </w:r>
      <w:r>
        <w:rPr>
          <w:rFonts w:hint="eastAsia" w:ascii="Times New Roman" w:hAnsi="Times New Roman" w:eastAsia="方正小标宋简体" w:cs="Times New Roman"/>
          <w:spacing w:val="-6"/>
          <w:sz w:val="44"/>
          <w:szCs w:val="44"/>
          <w:highlight w:val="none"/>
          <w:lang w:eastAsia="zh-CN"/>
        </w:rPr>
        <w:t>（</w:t>
      </w:r>
      <w:r>
        <w:rPr>
          <w:rFonts w:hint="default" w:ascii="Times New Roman" w:hAnsi="Times New Roman" w:eastAsia="方正小标宋简体" w:cs="Times New Roman"/>
          <w:spacing w:val="-6"/>
          <w:sz w:val="44"/>
          <w:szCs w:val="44"/>
          <w:highlight w:val="none"/>
        </w:rPr>
        <w:t>2025年修订</w:t>
      </w:r>
      <w:r>
        <w:rPr>
          <w:rFonts w:hint="eastAsia" w:ascii="Times New Roman" w:hAnsi="Times New Roman" w:eastAsia="方正小标宋简体" w:cs="Times New Roman"/>
          <w:spacing w:val="-6"/>
          <w:sz w:val="44"/>
          <w:szCs w:val="44"/>
          <w:highlight w:val="none"/>
          <w:lang w:eastAsia="zh-CN"/>
        </w:rPr>
        <w:t>）</w:t>
      </w:r>
    </w:p>
    <w:p w14:paraId="752B5E06">
      <w:pPr>
        <w:rPr>
          <w:rFonts w:hint="default" w:ascii="Times New Roman" w:hAnsi="Times New Roman" w:cs="Times New Roman"/>
          <w:spacing w:val="-6"/>
          <w:highlight w:val="none"/>
        </w:rPr>
      </w:pPr>
    </w:p>
    <w:p w14:paraId="260DAAD2">
      <w:pPr>
        <w:rPr>
          <w:rFonts w:hint="default" w:ascii="Times New Roman" w:hAnsi="Times New Roman" w:cs="Times New Roman"/>
          <w:spacing w:val="-6"/>
          <w:highlight w:val="none"/>
        </w:rPr>
      </w:pPr>
    </w:p>
    <w:p w14:paraId="191C91BE">
      <w:pPr>
        <w:jc w:val="center"/>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rPr>
        <w:t>第一章 总 则</w:t>
      </w:r>
    </w:p>
    <w:p w14:paraId="3F6492EC">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第一条</w:t>
      </w:r>
      <w:r>
        <w:rPr>
          <w:rFonts w:hint="default" w:ascii="Times New Roman" w:hAnsi="Times New Roman" w:eastAsia="仿宋" w:cs="Times New Roman"/>
          <w:spacing w:val="-6"/>
          <w:sz w:val="32"/>
          <w:szCs w:val="32"/>
          <w:highlight w:val="none"/>
        </w:rPr>
        <w:t xml:space="preserve"> 为规范</w:t>
      </w:r>
      <w:r>
        <w:rPr>
          <w:rFonts w:hint="default" w:ascii="Times New Roman" w:hAnsi="Times New Roman" w:eastAsia="仿宋" w:cs="Times New Roman"/>
          <w:spacing w:val="-6"/>
          <w:sz w:val="32"/>
          <w:szCs w:val="32"/>
          <w:highlight w:val="none"/>
          <w:lang w:eastAsia="zh-CN"/>
        </w:rPr>
        <w:t>区</w:t>
      </w:r>
      <w:r>
        <w:rPr>
          <w:rFonts w:hint="default" w:ascii="Times New Roman" w:hAnsi="Times New Roman" w:eastAsia="仿宋" w:cs="Times New Roman"/>
          <w:spacing w:val="-6"/>
          <w:sz w:val="32"/>
          <w:szCs w:val="32"/>
          <w:highlight w:val="none"/>
        </w:rPr>
        <w:t>直行政事业单位国有资产处置行为，维护国有资产安全和完整，根据《行政事业性国有资产管理条例》</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国务院令第738号</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、《广东省省直行政事业单位国有资产处置管理暂行办法</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2023年修订</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粤管〔2023〕22号</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、《湛江市市直行政事业单位国有资产处置管理暂行办法</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2024年修订</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w:t>
      </w:r>
      <w:r>
        <w:rPr>
          <w:rFonts w:hint="default" w:ascii="Times New Roman" w:hAnsi="Times New Roman" w:eastAsia="仿宋" w:cs="Times New Roman"/>
          <w:spacing w:val="-6"/>
          <w:sz w:val="32"/>
          <w:szCs w:val="32"/>
          <w:highlight w:val="none"/>
          <w:lang w:eastAsia="zh-CN"/>
        </w:rPr>
        <w:t>（湛管〔2024〕27号）</w:t>
      </w:r>
      <w:r>
        <w:rPr>
          <w:rFonts w:hint="default" w:ascii="Times New Roman" w:hAnsi="Times New Roman" w:eastAsia="仿宋" w:cs="Times New Roman"/>
          <w:spacing w:val="-6"/>
          <w:sz w:val="32"/>
          <w:szCs w:val="32"/>
          <w:highlight w:val="none"/>
        </w:rPr>
        <w:t>等有关规定，结合我区实际，制定本办法。</w:t>
      </w:r>
    </w:p>
    <w:p w14:paraId="60F5D8E8">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第二条</w:t>
      </w:r>
      <w:r>
        <w:rPr>
          <w:rFonts w:hint="default" w:ascii="Times New Roman" w:hAnsi="Times New Roman" w:eastAsia="仿宋" w:cs="Times New Roman"/>
          <w:spacing w:val="-6"/>
          <w:sz w:val="32"/>
          <w:szCs w:val="32"/>
          <w:highlight w:val="none"/>
        </w:rPr>
        <w:t xml:space="preserve"> 本办法所称区直行政事业单位，包括区直党的机关、人大机关</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行政机关、政协机关、监察机关、各民主党派机关</w:t>
      </w:r>
      <w:r>
        <w:rPr>
          <w:rFonts w:hint="default" w:ascii="Times New Roman" w:hAnsi="Times New Roman" w:eastAsia="仿宋" w:cs="Times New Roman"/>
          <w:spacing w:val="-6"/>
          <w:sz w:val="32"/>
          <w:szCs w:val="32"/>
          <w:highlight w:val="none"/>
          <w:lang w:eastAsia="zh-CN"/>
        </w:rPr>
        <w:t>和</w:t>
      </w:r>
      <w:r>
        <w:rPr>
          <w:rFonts w:hint="default" w:ascii="Times New Roman" w:hAnsi="Times New Roman" w:eastAsia="仿宋" w:cs="Times New Roman"/>
          <w:spacing w:val="-6"/>
          <w:sz w:val="32"/>
          <w:szCs w:val="32"/>
          <w:highlight w:val="none"/>
        </w:rPr>
        <w:t>有关人民团体及区级各类事业单位。</w:t>
      </w:r>
    </w:p>
    <w:p w14:paraId="7074615B">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第三条</w:t>
      </w:r>
      <w:r>
        <w:rPr>
          <w:rFonts w:hint="default" w:ascii="Times New Roman" w:hAnsi="Times New Roman" w:eastAsia="仿宋" w:cs="Times New Roman"/>
          <w:spacing w:val="-6"/>
          <w:sz w:val="32"/>
          <w:szCs w:val="32"/>
          <w:highlight w:val="none"/>
        </w:rPr>
        <w:t xml:space="preserve"> 区直行政事业单位国有资产处置方式包括无偿划转、对外捐赠、转让、置换、报废、损失核销等。</w:t>
      </w:r>
    </w:p>
    <w:p w14:paraId="27F8E7B3">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第四条</w:t>
      </w:r>
      <w:r>
        <w:rPr>
          <w:rFonts w:hint="default" w:ascii="Times New Roman" w:hAnsi="Times New Roman" w:eastAsia="仿宋" w:cs="Times New Roman"/>
          <w:spacing w:val="-6"/>
          <w:sz w:val="32"/>
          <w:szCs w:val="32"/>
          <w:highlight w:val="none"/>
        </w:rPr>
        <w:t xml:space="preserve"> 符合下列情形的区直行政事业单位国有资产应当予以处置：</w:t>
      </w:r>
    </w:p>
    <w:p w14:paraId="63BC39F2">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（一）</w:t>
      </w:r>
      <w:r>
        <w:rPr>
          <w:rFonts w:hint="default" w:ascii="Times New Roman" w:hAnsi="Times New Roman" w:eastAsia="仿宋" w:cs="Times New Roman"/>
          <w:spacing w:val="-6"/>
          <w:sz w:val="32"/>
          <w:szCs w:val="32"/>
          <w:highlight w:val="none"/>
        </w:rPr>
        <w:t>因技术原因确需淘汰或者无法维修、无维修价值的；</w:t>
      </w:r>
    </w:p>
    <w:p w14:paraId="695C8992">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（二）</w:t>
      </w:r>
      <w:r>
        <w:rPr>
          <w:rFonts w:hint="default" w:ascii="Times New Roman" w:hAnsi="Times New Roman" w:eastAsia="仿宋" w:cs="Times New Roman"/>
          <w:spacing w:val="-6"/>
          <w:sz w:val="32"/>
          <w:szCs w:val="32"/>
          <w:highlight w:val="none"/>
        </w:rPr>
        <w:t>涉及盘亏等非正常损失的；</w:t>
      </w:r>
    </w:p>
    <w:p w14:paraId="5F83032C">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（三）</w:t>
      </w:r>
      <w:r>
        <w:rPr>
          <w:rFonts w:hint="default" w:ascii="Times New Roman" w:hAnsi="Times New Roman" w:eastAsia="仿宋" w:cs="Times New Roman"/>
          <w:spacing w:val="-6"/>
          <w:sz w:val="32"/>
          <w:szCs w:val="32"/>
          <w:highlight w:val="none"/>
        </w:rPr>
        <w:t>已超过使用年限且无法满足现有工作需要的；</w:t>
      </w:r>
    </w:p>
    <w:p w14:paraId="3F2757D4">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（四）</w:t>
      </w:r>
      <w:r>
        <w:rPr>
          <w:rFonts w:hint="default" w:ascii="Times New Roman" w:hAnsi="Times New Roman" w:eastAsia="仿宋" w:cs="Times New Roman"/>
          <w:spacing w:val="-6"/>
          <w:sz w:val="32"/>
          <w:szCs w:val="32"/>
          <w:highlight w:val="none"/>
        </w:rPr>
        <w:t>因自然灾害等不可抗力造成毁损、灭失的；</w:t>
      </w:r>
    </w:p>
    <w:p w14:paraId="3E99D6CE">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（五）</w:t>
      </w:r>
      <w:r>
        <w:rPr>
          <w:rFonts w:hint="default" w:ascii="Times New Roman" w:hAnsi="Times New Roman" w:eastAsia="仿宋" w:cs="Times New Roman"/>
          <w:spacing w:val="-6"/>
          <w:sz w:val="32"/>
          <w:szCs w:val="32"/>
          <w:highlight w:val="none"/>
        </w:rPr>
        <w:t>因单位分立、合并、改制、撤销、隶属关系改变或者部分职能、业务调整等而移交的；</w:t>
      </w:r>
    </w:p>
    <w:p w14:paraId="4BA5E236">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（六）</w:t>
      </w:r>
      <w:r>
        <w:rPr>
          <w:rFonts w:hint="default" w:ascii="Times New Roman" w:hAnsi="Times New Roman" w:eastAsia="仿宋" w:cs="Times New Roman"/>
          <w:spacing w:val="-6"/>
          <w:sz w:val="32"/>
          <w:szCs w:val="32"/>
          <w:highlight w:val="none"/>
        </w:rPr>
        <w:t>发生产权变动的；</w:t>
      </w:r>
    </w:p>
    <w:p w14:paraId="01E299A4">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（七）</w:t>
      </w:r>
      <w:r>
        <w:rPr>
          <w:rFonts w:hint="default" w:ascii="Times New Roman" w:hAnsi="Times New Roman" w:eastAsia="仿宋" w:cs="Times New Roman"/>
          <w:spacing w:val="-6"/>
          <w:sz w:val="32"/>
          <w:szCs w:val="32"/>
          <w:highlight w:val="none"/>
        </w:rPr>
        <w:t>依照国家、省</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市</w:t>
      </w:r>
      <w:r>
        <w:rPr>
          <w:rFonts w:hint="default" w:ascii="Times New Roman" w:hAnsi="Times New Roman" w:eastAsia="仿宋" w:cs="Times New Roman"/>
          <w:spacing w:val="-6"/>
          <w:sz w:val="32"/>
          <w:szCs w:val="32"/>
          <w:highlight w:val="none"/>
          <w:lang w:eastAsia="zh-CN"/>
        </w:rPr>
        <w:t>及区</w:t>
      </w:r>
      <w:r>
        <w:rPr>
          <w:rFonts w:hint="default" w:ascii="Times New Roman" w:hAnsi="Times New Roman" w:eastAsia="仿宋" w:cs="Times New Roman"/>
          <w:spacing w:val="-6"/>
          <w:sz w:val="32"/>
          <w:szCs w:val="32"/>
          <w:highlight w:val="none"/>
        </w:rPr>
        <w:t xml:space="preserve">有关规定需要处置的其他情形。 </w:t>
      </w:r>
    </w:p>
    <w:p w14:paraId="16371557">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第五条</w:t>
      </w:r>
      <w:r>
        <w:rPr>
          <w:rFonts w:hint="default" w:ascii="Times New Roman" w:hAnsi="Times New Roman" w:eastAsia="仿宋" w:cs="Times New Roman"/>
          <w:spacing w:val="-6"/>
          <w:sz w:val="32"/>
          <w:szCs w:val="32"/>
          <w:highlight w:val="none"/>
        </w:rPr>
        <w:t xml:space="preserve"> 资产处置应当遵循以下原则：</w:t>
      </w:r>
    </w:p>
    <w:p w14:paraId="14A730C4">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（一）</w:t>
      </w:r>
      <w:r>
        <w:rPr>
          <w:rFonts w:hint="default" w:ascii="Times New Roman" w:hAnsi="Times New Roman" w:eastAsia="仿宋" w:cs="Times New Roman"/>
          <w:spacing w:val="-6"/>
          <w:sz w:val="32"/>
          <w:szCs w:val="32"/>
          <w:highlight w:val="none"/>
        </w:rPr>
        <w:t>依法依规；</w:t>
      </w:r>
    </w:p>
    <w:p w14:paraId="24940CC2">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（二）</w:t>
      </w:r>
      <w:r>
        <w:rPr>
          <w:rFonts w:hint="default" w:ascii="Times New Roman" w:hAnsi="Times New Roman" w:eastAsia="仿宋" w:cs="Times New Roman"/>
          <w:spacing w:val="-6"/>
          <w:sz w:val="32"/>
          <w:szCs w:val="32"/>
          <w:highlight w:val="none"/>
        </w:rPr>
        <w:t>勤俭节约；</w:t>
      </w:r>
    </w:p>
    <w:p w14:paraId="44B81391">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（三）</w:t>
      </w:r>
      <w:r>
        <w:rPr>
          <w:rFonts w:hint="default" w:ascii="Times New Roman" w:hAnsi="Times New Roman" w:eastAsia="仿宋" w:cs="Times New Roman"/>
          <w:spacing w:val="-6"/>
          <w:sz w:val="32"/>
          <w:szCs w:val="32"/>
          <w:highlight w:val="none"/>
        </w:rPr>
        <w:t>公开、公平、公正；</w:t>
      </w:r>
    </w:p>
    <w:p w14:paraId="22473FC3">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（四）</w:t>
      </w:r>
      <w:r>
        <w:rPr>
          <w:rFonts w:hint="default" w:ascii="Times New Roman" w:hAnsi="Times New Roman" w:eastAsia="仿宋" w:cs="Times New Roman"/>
          <w:spacing w:val="-6"/>
          <w:sz w:val="32"/>
          <w:szCs w:val="32"/>
          <w:highlight w:val="none"/>
        </w:rPr>
        <w:t>集中统一；</w:t>
      </w:r>
    </w:p>
    <w:p w14:paraId="2A8F0309">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（五）</w:t>
      </w:r>
      <w:r>
        <w:rPr>
          <w:rFonts w:hint="default" w:ascii="Times New Roman" w:hAnsi="Times New Roman" w:eastAsia="仿宋" w:cs="Times New Roman"/>
          <w:spacing w:val="-6"/>
          <w:sz w:val="32"/>
          <w:szCs w:val="32"/>
          <w:highlight w:val="none"/>
        </w:rPr>
        <w:t>与资产配置、使用相结合。</w:t>
      </w:r>
    </w:p>
    <w:p w14:paraId="6DD1A9DE">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第六条</w:t>
      </w:r>
      <w:r>
        <w:rPr>
          <w:rFonts w:hint="default" w:ascii="Times New Roman" w:hAnsi="Times New Roman" w:eastAsia="仿宋" w:cs="Times New Roman"/>
          <w:spacing w:val="-6"/>
          <w:sz w:val="32"/>
          <w:szCs w:val="32"/>
          <w:highlight w:val="none"/>
        </w:rPr>
        <w:t xml:space="preserve"> 区直行政事业单位拟处置的国有资产权属应当清晰，取得或者形成方式应当合法合规。权属关系不明确或者存在权属纠纷的，应当按照有关规定界定权属后予以处置。</w:t>
      </w:r>
    </w:p>
    <w:p w14:paraId="56FE785C">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被设置为担保物的国有资产处置，应当符合《中华人民共和国民法典》等法律的有关规定。</w:t>
      </w:r>
    </w:p>
    <w:p w14:paraId="58E8C981">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p>
    <w:p w14:paraId="22BA0FB6">
      <w:pPr>
        <w:jc w:val="center"/>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rPr>
        <w:t>第二章 处置权限和要求</w:t>
      </w:r>
    </w:p>
    <w:p w14:paraId="1EB64641">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第七条</w:t>
      </w:r>
      <w:r>
        <w:rPr>
          <w:rFonts w:hint="default" w:ascii="Times New Roman" w:hAnsi="Times New Roman" w:eastAsia="仿宋" w:cs="Times New Roman"/>
          <w:spacing w:val="-6"/>
          <w:sz w:val="32"/>
          <w:szCs w:val="32"/>
          <w:highlight w:val="none"/>
        </w:rPr>
        <w:t xml:space="preserve"> 区财政局负责指导监督检查区直行政事业单位国有资产处置管理工作，负责区属</w:t>
      </w:r>
      <w:r>
        <w:rPr>
          <w:rFonts w:hint="default" w:ascii="Times New Roman" w:hAnsi="Times New Roman" w:eastAsia="仿宋" w:cs="Times New Roman"/>
          <w:spacing w:val="-6"/>
          <w:sz w:val="32"/>
          <w:szCs w:val="32"/>
          <w:highlight w:val="none"/>
          <w:lang w:eastAsia="zh-CN"/>
        </w:rPr>
        <w:t>学校</w:t>
      </w:r>
      <w:r>
        <w:rPr>
          <w:rFonts w:hint="default" w:ascii="Times New Roman" w:hAnsi="Times New Roman" w:eastAsia="仿宋" w:cs="Times New Roman"/>
          <w:spacing w:val="-6"/>
          <w:sz w:val="32"/>
          <w:szCs w:val="32"/>
          <w:highlight w:val="none"/>
        </w:rPr>
        <w:t>及公立医院的国有资产处置管理，按照规定权限对区直行政事业单位国有资产处置事项进行审核审批。</w:t>
      </w:r>
    </w:p>
    <w:p w14:paraId="72A07797">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第八条</w:t>
      </w:r>
      <w:r>
        <w:rPr>
          <w:rFonts w:hint="default" w:ascii="Times New Roman" w:hAnsi="Times New Roman" w:eastAsia="仿宋" w:cs="Times New Roman"/>
          <w:spacing w:val="-6"/>
          <w:sz w:val="32"/>
          <w:szCs w:val="32"/>
          <w:highlight w:val="none"/>
        </w:rPr>
        <w:t xml:space="preserve"> 区机关事务管理局负责区直行政事业单位国有资产处置管理</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不含区属</w:t>
      </w:r>
      <w:r>
        <w:rPr>
          <w:rFonts w:hint="default" w:ascii="Times New Roman" w:hAnsi="Times New Roman" w:eastAsia="仿宋" w:cs="Times New Roman"/>
          <w:spacing w:val="-6"/>
          <w:sz w:val="32"/>
          <w:szCs w:val="32"/>
          <w:highlight w:val="none"/>
          <w:lang w:eastAsia="zh-CN"/>
        </w:rPr>
        <w:t>学校</w:t>
      </w:r>
      <w:r>
        <w:rPr>
          <w:rFonts w:hint="default" w:ascii="Times New Roman" w:hAnsi="Times New Roman" w:eastAsia="仿宋" w:cs="Times New Roman"/>
          <w:spacing w:val="-6"/>
          <w:sz w:val="32"/>
          <w:szCs w:val="32"/>
          <w:highlight w:val="none"/>
        </w:rPr>
        <w:t>及</w:t>
      </w:r>
      <w:r>
        <w:rPr>
          <w:rFonts w:hint="default" w:ascii="Times New Roman" w:hAnsi="Times New Roman" w:eastAsia="仿宋" w:cs="Times New Roman"/>
          <w:spacing w:val="-6"/>
          <w:sz w:val="32"/>
          <w:szCs w:val="32"/>
          <w:highlight w:val="none"/>
          <w:lang w:eastAsia="zh-CN"/>
        </w:rPr>
        <w:t>公立医院）</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会同区财政局制定区直行政事业单位国有资产处置管理具体制度并组织实施，按照规定权限对区直行政事业单位</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不含区属</w:t>
      </w:r>
      <w:r>
        <w:rPr>
          <w:rFonts w:hint="default" w:ascii="Times New Roman" w:hAnsi="Times New Roman" w:eastAsia="仿宋" w:cs="Times New Roman"/>
          <w:spacing w:val="-6"/>
          <w:sz w:val="32"/>
          <w:szCs w:val="32"/>
          <w:highlight w:val="none"/>
          <w:lang w:eastAsia="zh-CN"/>
        </w:rPr>
        <w:t>学校</w:t>
      </w:r>
      <w:r>
        <w:rPr>
          <w:rFonts w:hint="default" w:ascii="Times New Roman" w:hAnsi="Times New Roman" w:eastAsia="仿宋" w:cs="Times New Roman"/>
          <w:spacing w:val="-6"/>
          <w:sz w:val="32"/>
          <w:szCs w:val="32"/>
          <w:highlight w:val="none"/>
        </w:rPr>
        <w:t>及公立医院</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国有资产处置事项进行审核审批和监督检查。</w:t>
      </w:r>
    </w:p>
    <w:p w14:paraId="6D079BD9">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第九条</w:t>
      </w:r>
      <w:r>
        <w:rPr>
          <w:rFonts w:hint="default" w:ascii="Times New Roman" w:hAnsi="Times New Roman" w:eastAsia="仿宋" w:cs="Times New Roman"/>
          <w:spacing w:val="-6"/>
          <w:sz w:val="32"/>
          <w:szCs w:val="32"/>
          <w:highlight w:val="none"/>
        </w:rPr>
        <w:t xml:space="preserve"> 区直行政事业单位主管部门</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下称主管部门</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负责制定本部门行政事业性国有资产处置制度并组织实施和监督管理，按权限审核审批本部门所属单位资产处置事项，并向区机关事务管理局、区财政局报告资产处置情况，规范本部门所属单位资产处置行为，督促本部门及所属单位上缴资产处置收入。</w:t>
      </w:r>
    </w:p>
    <w:p w14:paraId="6A4CE755">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第十条</w:t>
      </w:r>
      <w:r>
        <w:rPr>
          <w:rFonts w:hint="default" w:ascii="Times New Roman" w:hAnsi="Times New Roman" w:eastAsia="仿宋" w:cs="Times New Roman"/>
          <w:spacing w:val="-6"/>
          <w:sz w:val="32"/>
          <w:szCs w:val="32"/>
          <w:highlight w:val="none"/>
        </w:rPr>
        <w:t xml:space="preserve"> 区直行政事业单位负责对本单位占有、使用的国有资产实施具体管理，按照本办法规定申报办理资产处置事项，及时将资产处置收入上缴区级国库。</w:t>
      </w:r>
    </w:p>
    <w:p w14:paraId="5EF8D937">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第十一条</w:t>
      </w:r>
      <w:r>
        <w:rPr>
          <w:rFonts w:hint="default" w:ascii="Times New Roman" w:hAnsi="Times New Roman" w:eastAsia="仿宋" w:cs="Times New Roman"/>
          <w:spacing w:val="-6"/>
          <w:sz w:val="32"/>
          <w:szCs w:val="32"/>
          <w:highlight w:val="none"/>
        </w:rPr>
        <w:t xml:space="preserve"> 区直行政事业单位处置办公用房和公务用车，中央、省、市及区有相关规定的，从其规定。</w:t>
      </w:r>
    </w:p>
    <w:p w14:paraId="6A9998C0">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lang w:eastAsia="zh-CN"/>
        </w:rPr>
      </w:pPr>
      <w:r>
        <w:rPr>
          <w:rFonts w:hint="default" w:ascii="Times New Roman" w:hAnsi="Times New Roman" w:eastAsia="黑体" w:cs="Times New Roman"/>
          <w:spacing w:val="-6"/>
          <w:sz w:val="32"/>
          <w:szCs w:val="32"/>
          <w:highlight w:val="none"/>
        </w:rPr>
        <w:t>第十二条</w:t>
      </w:r>
      <w:r>
        <w:rPr>
          <w:rFonts w:hint="default" w:ascii="Times New Roman" w:hAnsi="Times New Roman" w:eastAsia="仿宋" w:cs="Times New Roman"/>
          <w:spacing w:val="-6"/>
          <w:sz w:val="32"/>
          <w:szCs w:val="32"/>
          <w:highlight w:val="none"/>
        </w:rPr>
        <w:t xml:space="preserve"> 主管部门对区直行政事业单位资产处置事项的合法性和合理性、申报材料的真实性和完整性、申报程序的合规性等进行审核，对单位价值或者批量价值</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账面原值，下同</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lang w:val="en-US" w:eastAsia="zh-CN"/>
        </w:rPr>
        <w:t>100</w:t>
      </w:r>
      <w:r>
        <w:rPr>
          <w:rFonts w:hint="default" w:ascii="Times New Roman" w:hAnsi="Times New Roman" w:eastAsia="仿宋" w:cs="Times New Roman"/>
          <w:spacing w:val="-6"/>
          <w:sz w:val="32"/>
          <w:szCs w:val="32"/>
          <w:highlight w:val="none"/>
        </w:rPr>
        <w:t>万元以下的国有资产处置事项进行审批。</w:t>
      </w:r>
      <w:r>
        <w:rPr>
          <w:rFonts w:hint="default" w:ascii="Times New Roman" w:hAnsi="Times New Roman" w:eastAsia="仿宋" w:cs="Times New Roman"/>
          <w:spacing w:val="-6"/>
          <w:sz w:val="32"/>
          <w:szCs w:val="32"/>
          <w:highlight w:val="none"/>
          <w:lang w:eastAsia="zh-CN"/>
        </w:rPr>
        <w:t>申报单位应在资产处置具体工作完成后一个月内，将批复文件、处置情况及处置结果向</w:t>
      </w:r>
      <w:r>
        <w:rPr>
          <w:rFonts w:hint="default" w:ascii="Times New Roman" w:hAnsi="Times New Roman" w:eastAsia="仿宋" w:cs="Times New Roman"/>
          <w:spacing w:val="-6"/>
          <w:sz w:val="32"/>
          <w:szCs w:val="32"/>
          <w:highlight w:val="none"/>
        </w:rPr>
        <w:t>区财政局、区机关事务管理局</w:t>
      </w:r>
      <w:r>
        <w:rPr>
          <w:rFonts w:hint="default" w:ascii="Times New Roman" w:hAnsi="Times New Roman" w:eastAsia="仿宋" w:cs="Times New Roman"/>
          <w:spacing w:val="-6"/>
          <w:sz w:val="32"/>
          <w:szCs w:val="32"/>
          <w:highlight w:val="none"/>
          <w:lang w:eastAsia="zh-CN"/>
        </w:rPr>
        <w:t>报备</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申报单位为区属</w:t>
      </w:r>
      <w:r>
        <w:rPr>
          <w:rFonts w:hint="default" w:ascii="Times New Roman" w:hAnsi="Times New Roman" w:eastAsia="仿宋" w:cs="Times New Roman"/>
          <w:spacing w:val="-6"/>
          <w:sz w:val="32"/>
          <w:szCs w:val="32"/>
          <w:highlight w:val="none"/>
          <w:lang w:eastAsia="zh-CN"/>
        </w:rPr>
        <w:t>学校</w:t>
      </w:r>
      <w:r>
        <w:rPr>
          <w:rFonts w:hint="default" w:ascii="Times New Roman" w:hAnsi="Times New Roman" w:eastAsia="仿宋" w:cs="Times New Roman"/>
          <w:spacing w:val="-6"/>
          <w:sz w:val="32"/>
          <w:szCs w:val="32"/>
          <w:highlight w:val="none"/>
        </w:rPr>
        <w:t>及公立医院的报区财政局，其他单位报区机关事务管理局</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lang w:eastAsia="zh-CN"/>
        </w:rPr>
        <w:t>。</w:t>
      </w:r>
    </w:p>
    <w:p w14:paraId="2BA16DE0">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单位价值或者批量价值</w:t>
      </w:r>
      <w:r>
        <w:rPr>
          <w:rFonts w:hint="default" w:ascii="Times New Roman" w:hAnsi="Times New Roman" w:eastAsia="仿宋" w:cs="Times New Roman"/>
          <w:spacing w:val="-6"/>
          <w:sz w:val="32"/>
          <w:szCs w:val="32"/>
          <w:highlight w:val="none"/>
          <w:lang w:val="en-US" w:eastAsia="zh-CN"/>
        </w:rPr>
        <w:t>100</w:t>
      </w:r>
      <w:r>
        <w:rPr>
          <w:rFonts w:hint="default" w:ascii="Times New Roman" w:hAnsi="Times New Roman" w:eastAsia="仿宋" w:cs="Times New Roman"/>
          <w:spacing w:val="-6"/>
          <w:sz w:val="32"/>
          <w:szCs w:val="32"/>
          <w:highlight w:val="none"/>
        </w:rPr>
        <w:t>万元及以上的国有资产处置事项，主管部门初审后，</w:t>
      </w:r>
      <w:r>
        <w:rPr>
          <w:rFonts w:hint="default" w:ascii="Times New Roman" w:hAnsi="Times New Roman" w:eastAsia="仿宋" w:cs="Times New Roman"/>
          <w:spacing w:val="-6"/>
          <w:sz w:val="32"/>
          <w:szCs w:val="32"/>
          <w:highlight w:val="none"/>
          <w:lang w:eastAsia="zh-CN"/>
        </w:rPr>
        <w:t>报区机关事务管理局审核</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申报单位为区属</w:t>
      </w:r>
      <w:r>
        <w:rPr>
          <w:rFonts w:hint="default" w:ascii="Times New Roman" w:hAnsi="Times New Roman" w:eastAsia="仿宋" w:cs="Times New Roman"/>
          <w:spacing w:val="-6"/>
          <w:sz w:val="32"/>
          <w:szCs w:val="32"/>
          <w:highlight w:val="none"/>
          <w:lang w:eastAsia="zh-CN"/>
        </w:rPr>
        <w:t>学校</w:t>
      </w:r>
      <w:r>
        <w:rPr>
          <w:rFonts w:hint="default" w:ascii="Times New Roman" w:hAnsi="Times New Roman" w:eastAsia="仿宋" w:cs="Times New Roman"/>
          <w:spacing w:val="-6"/>
          <w:sz w:val="32"/>
          <w:szCs w:val="32"/>
          <w:highlight w:val="none"/>
        </w:rPr>
        <w:t>及公立医院的报区财政局</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w:t>
      </w:r>
      <w:r>
        <w:rPr>
          <w:rFonts w:hint="default" w:ascii="Times New Roman" w:hAnsi="Times New Roman" w:eastAsia="仿宋" w:cs="Times New Roman"/>
          <w:strike w:val="0"/>
          <w:dstrike w:val="0"/>
          <w:spacing w:val="-6"/>
          <w:sz w:val="32"/>
          <w:szCs w:val="32"/>
          <w:highlight w:val="none"/>
          <w:lang w:eastAsia="zh-CN"/>
        </w:rPr>
        <w:t>审核通过后</w:t>
      </w:r>
      <w:r>
        <w:rPr>
          <w:rFonts w:hint="default" w:ascii="Times New Roman" w:hAnsi="Times New Roman" w:eastAsia="仿宋" w:cs="Times New Roman"/>
          <w:spacing w:val="-6"/>
          <w:sz w:val="32"/>
          <w:szCs w:val="32"/>
          <w:highlight w:val="none"/>
        </w:rPr>
        <w:t>，由主管单位报区政府审批。其中，涉及资金收支以及价值变化、核定的资产转让、置换、报废和损失核销等事项，区机关事务管理局应征求区财政局意见。</w:t>
      </w:r>
    </w:p>
    <w:p w14:paraId="3242CB0A">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lang w:eastAsia="zh-CN"/>
        </w:rPr>
      </w:pPr>
      <w:r>
        <w:rPr>
          <w:rFonts w:hint="default" w:ascii="Times New Roman" w:hAnsi="Times New Roman" w:eastAsia="仿宋" w:cs="Times New Roman"/>
          <w:spacing w:val="-6"/>
          <w:sz w:val="32"/>
          <w:szCs w:val="32"/>
          <w:highlight w:val="none"/>
        </w:rPr>
        <w:t>土地、房屋类国有资产处置事项，以及行政单位和公益一类事业单位向非财政全额保障经费的企事业单位无偿划转50万元及以上的国有资产处置事项，均应由主管单位初审后，报区机关事务管理局</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申报单位为区属</w:t>
      </w:r>
      <w:r>
        <w:rPr>
          <w:rFonts w:hint="default" w:ascii="Times New Roman" w:hAnsi="Times New Roman" w:eastAsia="仿宋" w:cs="Times New Roman"/>
          <w:spacing w:val="-6"/>
          <w:sz w:val="32"/>
          <w:szCs w:val="32"/>
          <w:highlight w:val="none"/>
          <w:lang w:eastAsia="zh-CN"/>
        </w:rPr>
        <w:t>学校</w:t>
      </w:r>
      <w:r>
        <w:rPr>
          <w:rFonts w:hint="default" w:ascii="Times New Roman" w:hAnsi="Times New Roman" w:eastAsia="仿宋" w:cs="Times New Roman"/>
          <w:spacing w:val="-6"/>
          <w:sz w:val="32"/>
          <w:szCs w:val="32"/>
          <w:highlight w:val="none"/>
        </w:rPr>
        <w:t>及公立医院的报区财政局</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审核或审批</w:t>
      </w:r>
      <w:r>
        <w:rPr>
          <w:rFonts w:hint="default" w:ascii="Times New Roman" w:hAnsi="Times New Roman" w:eastAsia="仿宋" w:cs="Times New Roman"/>
          <w:spacing w:val="-6"/>
          <w:sz w:val="32"/>
          <w:szCs w:val="32"/>
          <w:highlight w:val="none"/>
          <w:lang w:eastAsia="zh-CN"/>
        </w:rPr>
        <w:t>。</w:t>
      </w:r>
    </w:p>
    <w:p w14:paraId="5CE24564">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lang w:val="en-US" w:eastAsia="zh-CN"/>
        </w:rPr>
      </w:pPr>
      <w:r>
        <w:rPr>
          <w:rFonts w:hint="default" w:ascii="Times New Roman" w:hAnsi="Times New Roman" w:eastAsia="仿宋" w:cs="Times New Roman"/>
          <w:spacing w:val="-6"/>
          <w:sz w:val="32"/>
          <w:szCs w:val="32"/>
          <w:highlight w:val="none"/>
          <w:lang w:eastAsia="zh-CN"/>
        </w:rPr>
        <w:t>国有资产向区直行政事业单位或区属国有企业以外无偿划转、</w:t>
      </w:r>
      <w:r>
        <w:rPr>
          <w:rFonts w:hint="default" w:ascii="Times New Roman" w:hAnsi="Times New Roman" w:eastAsia="仿宋" w:cs="Times New Roman"/>
          <w:spacing w:val="-6"/>
          <w:sz w:val="32"/>
          <w:szCs w:val="32"/>
          <w:highlight w:val="none"/>
          <w:lang w:val="en-US" w:eastAsia="zh-CN"/>
        </w:rPr>
        <w:t>100亩以上的土地资产处置、资产评估价值5000万元以上的非土地资产转让，按区委</w:t>
      </w:r>
      <w:r>
        <w:rPr>
          <w:rFonts w:hint="eastAsia" w:ascii="Times New Roman" w:hAnsi="Times New Roman" w:eastAsia="仿宋" w:cs="Times New Roman"/>
          <w:spacing w:val="-6"/>
          <w:sz w:val="32"/>
          <w:szCs w:val="32"/>
          <w:highlight w:val="none"/>
          <w:lang w:val="en-US" w:eastAsia="zh-CN"/>
        </w:rPr>
        <w:t>“</w:t>
      </w:r>
      <w:r>
        <w:rPr>
          <w:rFonts w:hint="default" w:ascii="Times New Roman" w:hAnsi="Times New Roman" w:eastAsia="仿宋" w:cs="Times New Roman"/>
          <w:spacing w:val="-6"/>
          <w:sz w:val="32"/>
          <w:szCs w:val="32"/>
          <w:highlight w:val="none"/>
          <w:lang w:val="en-US" w:eastAsia="zh-CN"/>
        </w:rPr>
        <w:t>三重一大</w:t>
      </w:r>
      <w:r>
        <w:rPr>
          <w:rFonts w:hint="eastAsia" w:ascii="Times New Roman" w:hAnsi="Times New Roman" w:eastAsia="仿宋" w:cs="Times New Roman"/>
          <w:spacing w:val="-6"/>
          <w:sz w:val="32"/>
          <w:szCs w:val="32"/>
          <w:highlight w:val="none"/>
          <w:lang w:val="en-US" w:eastAsia="zh-CN"/>
        </w:rPr>
        <w:t>”</w:t>
      </w:r>
      <w:r>
        <w:rPr>
          <w:rFonts w:hint="default" w:ascii="Times New Roman" w:hAnsi="Times New Roman" w:eastAsia="仿宋" w:cs="Times New Roman"/>
          <w:spacing w:val="-6"/>
          <w:sz w:val="32"/>
          <w:szCs w:val="32"/>
          <w:highlight w:val="none"/>
          <w:lang w:val="en-US" w:eastAsia="zh-CN"/>
        </w:rPr>
        <w:t>事项议事决策制度的要求报区委常委会审议批准。</w:t>
      </w:r>
    </w:p>
    <w:p w14:paraId="2C4E9F9B">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区直行政事业单位应当在规定权限内根据实际及时处置国有资产，一个月度内分散处置的国有资产原则上按同一批次汇总计算批量价值。</w:t>
      </w:r>
    </w:p>
    <w:p w14:paraId="31A4DE34">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对于土地使用权、专利权、文物等以名义价值入账的资产，应当经具备相应资质的资产评估机构进行评估，根据评估价值按权限进行审批。</w:t>
      </w:r>
    </w:p>
    <w:p w14:paraId="786B9100">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第十三条</w:t>
      </w:r>
      <w:r>
        <w:rPr>
          <w:rFonts w:hint="default" w:ascii="Times New Roman" w:hAnsi="Times New Roman" w:eastAsia="仿宋" w:cs="Times New Roman"/>
          <w:spacing w:val="-6"/>
          <w:sz w:val="32"/>
          <w:szCs w:val="32"/>
          <w:highlight w:val="none"/>
        </w:rPr>
        <w:t xml:space="preserve"> 区级研究开发机构、区属</w:t>
      </w:r>
      <w:r>
        <w:rPr>
          <w:rFonts w:hint="default" w:ascii="Times New Roman" w:hAnsi="Times New Roman" w:eastAsia="仿宋" w:cs="Times New Roman"/>
          <w:spacing w:val="-6"/>
          <w:sz w:val="32"/>
          <w:szCs w:val="32"/>
          <w:highlight w:val="none"/>
          <w:lang w:eastAsia="zh-CN"/>
        </w:rPr>
        <w:t>学校</w:t>
      </w:r>
      <w:r>
        <w:rPr>
          <w:rFonts w:hint="default" w:ascii="Times New Roman" w:hAnsi="Times New Roman" w:eastAsia="仿宋" w:cs="Times New Roman"/>
          <w:spacing w:val="-6"/>
          <w:sz w:val="32"/>
          <w:szCs w:val="32"/>
          <w:highlight w:val="none"/>
        </w:rPr>
        <w:t>对持有的科技成果，可以自主决定转让，除涉及国家秘密、国家安全及关键核心技术外，不需报主管部门和区财政局、区机关事务管理局审批或者备案。涉及国家秘密、国家安全及关键核心技术的科技成果转让，由主管部门按照国家有关保密制度规定审批，并于批复之日起15个工作日内将批复文件报区财政局、区机关事务管理局备案。</w:t>
      </w:r>
    </w:p>
    <w:p w14:paraId="1EE65321">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区级研究开发机构、区属</w:t>
      </w:r>
      <w:r>
        <w:rPr>
          <w:rFonts w:hint="default" w:ascii="Times New Roman" w:hAnsi="Times New Roman" w:eastAsia="仿宋" w:cs="Times New Roman"/>
          <w:spacing w:val="-6"/>
          <w:sz w:val="32"/>
          <w:szCs w:val="32"/>
          <w:highlight w:val="none"/>
          <w:lang w:eastAsia="zh-CN"/>
        </w:rPr>
        <w:t>学校</w:t>
      </w:r>
      <w:r>
        <w:rPr>
          <w:rFonts w:hint="default" w:ascii="Times New Roman" w:hAnsi="Times New Roman" w:eastAsia="仿宋" w:cs="Times New Roman"/>
          <w:spacing w:val="-6"/>
          <w:sz w:val="32"/>
          <w:szCs w:val="32"/>
          <w:highlight w:val="none"/>
        </w:rPr>
        <w:t>以科技成果作价投资形成的国有股权无偿划转、转让、损失核销等处置事项，由各主管部门审批。</w:t>
      </w:r>
    </w:p>
    <w:p w14:paraId="50B99EFC">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第十四条</w:t>
      </w:r>
      <w:r>
        <w:rPr>
          <w:rFonts w:hint="default" w:ascii="Times New Roman" w:hAnsi="Times New Roman" w:eastAsia="仿宋" w:cs="Times New Roman"/>
          <w:spacing w:val="-6"/>
          <w:sz w:val="32"/>
          <w:szCs w:val="32"/>
          <w:highlight w:val="none"/>
        </w:rPr>
        <w:t xml:space="preserve"> 在突发公共卫生事件或者国家重大自然灾害等应急情况下，相关区直行政事业单位可本着急事急办、特事特办的原则，按照主管部门要求履行相关程序后处置国有资产，待应急事件结束后按规定权限报区机关事务管理局、区财政局备案。</w:t>
      </w:r>
    </w:p>
    <w:p w14:paraId="0CCA121D">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第十五条</w:t>
      </w:r>
      <w:r>
        <w:rPr>
          <w:rFonts w:hint="default" w:ascii="Times New Roman" w:hAnsi="Times New Roman" w:eastAsia="仿宋" w:cs="Times New Roman"/>
          <w:spacing w:val="-6"/>
          <w:sz w:val="32"/>
          <w:szCs w:val="32"/>
          <w:highlight w:val="none"/>
        </w:rPr>
        <w:t xml:space="preserve"> 区直行政事业单位国有资产处置应当通过行政事业性国有资产管理系统进行申报、审批、报备，实行全过程监督管理。</w:t>
      </w:r>
      <w:r>
        <w:rPr>
          <w:rFonts w:hint="default" w:ascii="Times New Roman" w:hAnsi="Times New Roman" w:eastAsia="仿宋" w:cs="Times New Roman"/>
          <w:spacing w:val="-6"/>
          <w:sz w:val="32"/>
          <w:szCs w:val="32"/>
          <w:highlight w:val="none"/>
          <w:lang w:eastAsia="zh-CN"/>
        </w:rPr>
        <w:t>相应</w:t>
      </w:r>
      <w:r>
        <w:rPr>
          <w:rFonts w:hint="default" w:ascii="Times New Roman" w:hAnsi="Times New Roman" w:eastAsia="仿宋" w:cs="Times New Roman"/>
          <w:spacing w:val="-6"/>
          <w:sz w:val="32"/>
          <w:szCs w:val="32"/>
          <w:highlight w:val="none"/>
        </w:rPr>
        <w:t>国有资产处置情况应当在行政事业性国有资产管理年度报告中予以反映。</w:t>
      </w:r>
    </w:p>
    <w:p w14:paraId="55201561">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对国有资产处置事项的批复文件，是国有资产处置的依据。区直行政事业单位要依据批复文件处置资产，处置完毕后应当及时核销相关资产台账信息，同时进行会计处理，确保账实相符，账账相符。</w:t>
      </w:r>
    </w:p>
    <w:p w14:paraId="4070A284">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第十六条</w:t>
      </w:r>
      <w:r>
        <w:rPr>
          <w:rFonts w:hint="default" w:ascii="Times New Roman" w:hAnsi="Times New Roman" w:eastAsia="仿宋" w:cs="Times New Roman"/>
          <w:spacing w:val="-6"/>
          <w:sz w:val="32"/>
          <w:szCs w:val="32"/>
          <w:highlight w:val="none"/>
        </w:rPr>
        <w:t xml:space="preserve"> 国有资产处置资料应当按照档案管理规定进行管理，其中批复文件和处置交易凭证应当作为会计档案进行管理。</w:t>
      </w:r>
    </w:p>
    <w:p w14:paraId="4A9954D8">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第十七条</w:t>
      </w:r>
      <w:r>
        <w:rPr>
          <w:rFonts w:hint="default" w:ascii="Times New Roman" w:hAnsi="Times New Roman" w:eastAsia="仿宋" w:cs="Times New Roman"/>
          <w:spacing w:val="-6"/>
          <w:sz w:val="32"/>
          <w:szCs w:val="32"/>
          <w:highlight w:val="none"/>
        </w:rPr>
        <w:t xml:space="preserve"> 除国家、省、市及区另有规定外，区直行政事业单位转让、置换国有资产等，应当依法进行资产评估，将评估报告报主管部门核准。</w:t>
      </w:r>
    </w:p>
    <w:p w14:paraId="23AB064E">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区级研究开发机构、区属</w:t>
      </w:r>
      <w:r>
        <w:rPr>
          <w:rFonts w:hint="default" w:ascii="Times New Roman" w:hAnsi="Times New Roman" w:eastAsia="仿宋" w:cs="Times New Roman"/>
          <w:spacing w:val="-6"/>
          <w:sz w:val="32"/>
          <w:szCs w:val="32"/>
          <w:highlight w:val="none"/>
          <w:lang w:eastAsia="zh-CN"/>
        </w:rPr>
        <w:t>学校</w:t>
      </w:r>
      <w:r>
        <w:rPr>
          <w:rFonts w:hint="default" w:ascii="Times New Roman" w:hAnsi="Times New Roman" w:eastAsia="仿宋" w:cs="Times New Roman"/>
          <w:spacing w:val="-6"/>
          <w:sz w:val="32"/>
          <w:szCs w:val="32"/>
          <w:highlight w:val="none"/>
        </w:rPr>
        <w:t>将科技成果转让，由单位自主决定是否进行资产评估；通过协议定价的，应当在本单位公示科技成果名称和拟交易价格。</w:t>
      </w:r>
    </w:p>
    <w:p w14:paraId="3C0481CE">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第十八条</w:t>
      </w:r>
      <w:r>
        <w:rPr>
          <w:rFonts w:hint="default" w:ascii="Times New Roman" w:hAnsi="Times New Roman" w:eastAsia="仿宋" w:cs="Times New Roman"/>
          <w:spacing w:val="-6"/>
          <w:sz w:val="32"/>
          <w:szCs w:val="32"/>
          <w:highlight w:val="none"/>
        </w:rPr>
        <w:t xml:space="preserve"> 区直行政事业单位闲置土地、房屋原则上应移交区机关事务管理局，由区机关事务管理局代区政府实行集中统一管理，予以调剂使用、共享共用、盘活处置等。未经审批，不得擅自处置。</w:t>
      </w:r>
    </w:p>
    <w:p w14:paraId="103564FC">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第十九条</w:t>
      </w:r>
      <w:r>
        <w:rPr>
          <w:rFonts w:hint="default" w:ascii="Times New Roman" w:hAnsi="Times New Roman" w:eastAsia="仿宋" w:cs="Times New Roman"/>
          <w:spacing w:val="-6"/>
          <w:sz w:val="32"/>
          <w:szCs w:val="32"/>
          <w:highlight w:val="none"/>
        </w:rPr>
        <w:t xml:space="preserve"> 区直行政事业单位通过无偿划转和置换取得的资产，应当符合资产配置标准，与其工作职责和人员编制情况相符。</w:t>
      </w:r>
    </w:p>
    <w:p w14:paraId="3727CDE5">
      <w:pPr>
        <w:jc w:val="both"/>
        <w:rPr>
          <w:rFonts w:hint="default" w:ascii="Times New Roman" w:hAnsi="Times New Roman" w:eastAsia="黑体" w:cs="Times New Roman"/>
          <w:spacing w:val="-6"/>
          <w:sz w:val="32"/>
          <w:szCs w:val="32"/>
          <w:highlight w:val="none"/>
        </w:rPr>
      </w:pPr>
    </w:p>
    <w:p w14:paraId="1D65E377">
      <w:pPr>
        <w:jc w:val="center"/>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rPr>
        <w:t>第三章 处置方式和程序</w:t>
      </w:r>
    </w:p>
    <w:p w14:paraId="40EBDA0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楷体" w:cs="Times New Roman"/>
          <w:spacing w:val="-6"/>
          <w:sz w:val="32"/>
          <w:szCs w:val="32"/>
          <w:highlight w:val="none"/>
        </w:rPr>
        <w:t>第一节 无偿划转</w:t>
      </w:r>
    </w:p>
    <w:p w14:paraId="2CAE9163">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第二十条</w:t>
      </w:r>
      <w:r>
        <w:rPr>
          <w:rFonts w:hint="default" w:ascii="Times New Roman" w:hAnsi="Times New Roman" w:eastAsia="仿宋" w:cs="Times New Roman"/>
          <w:spacing w:val="-6"/>
          <w:sz w:val="32"/>
          <w:szCs w:val="32"/>
          <w:highlight w:val="none"/>
        </w:rPr>
        <w:t xml:space="preserve"> 无偿划转是指在不改变国有资产性质的前提下，以无偿转让的方式变更国有资产占有、使用权的行为。无偿划转国有资产按照以下程序办理：</w:t>
      </w:r>
    </w:p>
    <w:p w14:paraId="3CA6D5D7">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（一）</w:t>
      </w:r>
      <w:r>
        <w:rPr>
          <w:rFonts w:hint="default" w:ascii="Times New Roman" w:hAnsi="Times New Roman" w:eastAsia="仿宋" w:cs="Times New Roman"/>
          <w:spacing w:val="-6"/>
          <w:sz w:val="32"/>
          <w:szCs w:val="32"/>
          <w:highlight w:val="none"/>
        </w:rPr>
        <w:t>区直行政事业单位之间无偿划转国有资产，以及区直行政事业单位对国有全资企业无偿划转国有资产，由划出方按照本办法第二章规定的相应权限履行审批手续；</w:t>
      </w:r>
    </w:p>
    <w:p w14:paraId="3394EBCC">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（二）</w:t>
      </w:r>
      <w:r>
        <w:rPr>
          <w:rFonts w:hint="default" w:ascii="Times New Roman" w:hAnsi="Times New Roman" w:eastAsia="仿宋" w:cs="Times New Roman"/>
          <w:spacing w:val="-6"/>
          <w:sz w:val="32"/>
          <w:szCs w:val="32"/>
          <w:highlight w:val="none"/>
        </w:rPr>
        <w:t>跨级次无偿划转国有资产。由区直行政事业单位无偿划转给上级政府有关单位的，应当附接收方主管部门和同级资产管理部门同意接收的相关文件，由划出方按照本办法第二章规定的相应权限履行审批手续；由上级政府有关单位无偿划转给区直行政事业单位的，由划出方按照同级资产管理部门规定的处置权限履行审批手续；</w:t>
      </w:r>
    </w:p>
    <w:p w14:paraId="328E504C">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lang w:eastAsia="zh-CN"/>
        </w:rPr>
      </w:pPr>
      <w:r>
        <w:rPr>
          <w:rFonts w:hint="default" w:ascii="Times New Roman" w:hAnsi="Times New Roman" w:eastAsia="仿宋" w:cs="Times New Roman"/>
          <w:spacing w:val="-6"/>
          <w:sz w:val="32"/>
          <w:szCs w:val="32"/>
          <w:highlight w:val="none"/>
          <w:lang w:eastAsia="zh-CN"/>
        </w:rPr>
        <w:t>（三）</w:t>
      </w:r>
      <w:r>
        <w:rPr>
          <w:rFonts w:hint="default" w:ascii="Times New Roman" w:hAnsi="Times New Roman" w:eastAsia="仿宋" w:cs="Times New Roman"/>
          <w:spacing w:val="-6"/>
          <w:sz w:val="32"/>
          <w:szCs w:val="32"/>
          <w:highlight w:val="none"/>
        </w:rPr>
        <w:t>区直行政事业单位向外区政府有关单位无偿划转国有资产，按照本条第</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二</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款有关规定办理</w:t>
      </w:r>
      <w:r>
        <w:rPr>
          <w:rFonts w:hint="default" w:ascii="Times New Roman" w:hAnsi="Times New Roman" w:eastAsia="仿宋" w:cs="Times New Roman"/>
          <w:color w:val="auto"/>
          <w:spacing w:val="-6"/>
          <w:sz w:val="32"/>
          <w:szCs w:val="32"/>
          <w:highlight w:val="none"/>
          <w:u w:val="none"/>
          <w:lang w:eastAsia="zh-CN"/>
        </w:rPr>
        <w:t>。</w:t>
      </w:r>
    </w:p>
    <w:p w14:paraId="30DF9A95">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第二十一条</w:t>
      </w:r>
      <w:r>
        <w:rPr>
          <w:rFonts w:hint="default" w:ascii="Times New Roman" w:hAnsi="Times New Roman" w:eastAsia="仿宋" w:cs="Times New Roman"/>
          <w:spacing w:val="-6"/>
          <w:sz w:val="32"/>
          <w:szCs w:val="32"/>
          <w:highlight w:val="none"/>
        </w:rPr>
        <w:t xml:space="preserve"> 区直行政事业单位申请无偿划转国有资产，应当由划出方提交以下材料：</w:t>
      </w:r>
    </w:p>
    <w:p w14:paraId="032ACAF5">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lang w:val="en-US" w:eastAsia="zh-CN"/>
        </w:rPr>
      </w:pPr>
      <w:r>
        <w:rPr>
          <w:rFonts w:hint="default" w:ascii="Times New Roman" w:hAnsi="Times New Roman" w:eastAsia="仿宋" w:cs="Times New Roman"/>
          <w:spacing w:val="-6"/>
          <w:sz w:val="32"/>
          <w:szCs w:val="32"/>
          <w:highlight w:val="none"/>
          <w:lang w:eastAsia="zh-CN"/>
        </w:rPr>
        <w:t>（一）</w:t>
      </w:r>
      <w:r>
        <w:rPr>
          <w:rFonts w:hint="default" w:ascii="Times New Roman" w:hAnsi="Times New Roman" w:eastAsia="仿宋" w:cs="Times New Roman"/>
          <w:spacing w:val="-6"/>
          <w:sz w:val="32"/>
          <w:szCs w:val="32"/>
          <w:highlight w:val="none"/>
        </w:rPr>
        <w:t>申请文件及单位内部决策文件，国有资产清单、价值凭证及权属证明</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如购货发票或收据、记账凭证、资产信息卡、竣工决算报告、国有土地使用权证、房屋所有权证、不动产权证</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专利证、著作权证、担保</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抵押</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凭证、债权或者股权凭证、投资协议等凭据的</w:t>
      </w:r>
      <w:r>
        <w:rPr>
          <w:rFonts w:hint="default" w:ascii="Times New Roman" w:hAnsi="Times New Roman" w:eastAsia="仿宋" w:cs="Times New Roman"/>
          <w:spacing w:val="-6"/>
          <w:sz w:val="32"/>
          <w:szCs w:val="32"/>
          <w:highlight w:val="none"/>
          <w:lang w:eastAsia="zh-CN"/>
        </w:rPr>
        <w:t>加盖公章</w:t>
      </w:r>
      <w:r>
        <w:rPr>
          <w:rFonts w:hint="default" w:ascii="Times New Roman" w:hAnsi="Times New Roman" w:eastAsia="仿宋" w:cs="Times New Roman"/>
          <w:spacing w:val="-6"/>
          <w:sz w:val="32"/>
          <w:szCs w:val="32"/>
          <w:highlight w:val="none"/>
        </w:rPr>
        <w:t>复印件，下同</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lang w:eastAsia="zh-CN"/>
        </w:rPr>
        <w:t>，以及《区直行政事业单位国有资产无偿划转和对外捐赠申请表》（附件</w:t>
      </w:r>
      <w:r>
        <w:rPr>
          <w:rFonts w:hint="default" w:ascii="Times New Roman" w:hAnsi="Times New Roman" w:eastAsia="仿宋" w:cs="Times New Roman"/>
          <w:spacing w:val="-6"/>
          <w:sz w:val="32"/>
          <w:szCs w:val="32"/>
          <w:highlight w:val="none"/>
          <w:lang w:val="en-US" w:eastAsia="zh-CN"/>
        </w:rPr>
        <w:t>1</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lang w:val="en-US" w:eastAsia="zh-CN"/>
        </w:rPr>
        <w:t>；</w:t>
      </w:r>
    </w:p>
    <w:p w14:paraId="4A6D08FE">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（二）</w:t>
      </w:r>
      <w:r>
        <w:rPr>
          <w:rFonts w:hint="default" w:ascii="Times New Roman" w:hAnsi="Times New Roman" w:eastAsia="仿宋" w:cs="Times New Roman"/>
          <w:spacing w:val="-6"/>
          <w:sz w:val="32"/>
          <w:szCs w:val="32"/>
          <w:highlight w:val="none"/>
        </w:rPr>
        <w:t>国有资产目前的使用情况说明；</w:t>
      </w:r>
    </w:p>
    <w:p w14:paraId="20B497F5">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（三）</w:t>
      </w:r>
      <w:r>
        <w:rPr>
          <w:rFonts w:hint="default" w:ascii="Times New Roman" w:hAnsi="Times New Roman" w:eastAsia="仿宋" w:cs="Times New Roman"/>
          <w:spacing w:val="-6"/>
          <w:sz w:val="32"/>
          <w:szCs w:val="32"/>
          <w:highlight w:val="none"/>
        </w:rPr>
        <w:t>接收单位同类国有资产存量及需求情况、申请材料，接收方同意接收的相关文件；</w:t>
      </w:r>
    </w:p>
    <w:p w14:paraId="4623B96C">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（四）</w:t>
      </w:r>
      <w:r>
        <w:rPr>
          <w:rFonts w:hint="default" w:ascii="Times New Roman" w:hAnsi="Times New Roman" w:eastAsia="仿宋" w:cs="Times New Roman"/>
          <w:spacing w:val="-6"/>
          <w:sz w:val="32"/>
          <w:szCs w:val="32"/>
          <w:highlight w:val="none"/>
        </w:rPr>
        <w:t>划出单位和接收单位签署的意向性协议；</w:t>
      </w:r>
    </w:p>
    <w:p w14:paraId="181613B8">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（五）</w:t>
      </w:r>
      <w:r>
        <w:rPr>
          <w:rFonts w:hint="default" w:ascii="Times New Roman" w:hAnsi="Times New Roman" w:eastAsia="仿宋" w:cs="Times New Roman"/>
          <w:spacing w:val="-6"/>
          <w:sz w:val="32"/>
          <w:szCs w:val="32"/>
          <w:highlight w:val="none"/>
        </w:rPr>
        <w:t>因单位隶属关系改变而上划或下划资产的，须提供改变隶属关系的批文；</w:t>
      </w:r>
    </w:p>
    <w:p w14:paraId="76E55491">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（六）</w:t>
      </w:r>
      <w:r>
        <w:rPr>
          <w:rFonts w:hint="default" w:ascii="Times New Roman" w:hAnsi="Times New Roman" w:eastAsia="仿宋" w:cs="Times New Roman"/>
          <w:spacing w:val="-6"/>
          <w:sz w:val="32"/>
          <w:szCs w:val="32"/>
          <w:highlight w:val="none"/>
        </w:rPr>
        <w:t>因单位分立、合并、改制、撤销或者部分职能、业务调整而移交资产的，须提供分立、合并、改制、撤销或者部分职能、业务调整相关批文，以及由具备相应资质的中介机构出具的资产清查等相关报告；</w:t>
      </w:r>
    </w:p>
    <w:p w14:paraId="71FC9455">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（七）</w:t>
      </w:r>
      <w:r>
        <w:rPr>
          <w:rFonts w:hint="default" w:ascii="Times New Roman" w:hAnsi="Times New Roman" w:eastAsia="仿宋" w:cs="Times New Roman"/>
          <w:spacing w:val="-6"/>
          <w:sz w:val="32"/>
          <w:szCs w:val="32"/>
          <w:highlight w:val="none"/>
        </w:rPr>
        <w:t>经国家、省、市及区特殊批准调拨资产的，须提供国家、省、市及区批准文件；</w:t>
      </w:r>
    </w:p>
    <w:p w14:paraId="6B145173">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（八）</w:t>
      </w:r>
      <w:r>
        <w:rPr>
          <w:rFonts w:hint="default" w:ascii="Times New Roman" w:hAnsi="Times New Roman" w:eastAsia="仿宋" w:cs="Times New Roman"/>
          <w:spacing w:val="-6"/>
          <w:sz w:val="32"/>
          <w:szCs w:val="32"/>
          <w:highlight w:val="none"/>
        </w:rPr>
        <w:t>其他相关材料。</w:t>
      </w:r>
    </w:p>
    <w:p w14:paraId="017A213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楷体" w:cs="Times New Roman"/>
          <w:spacing w:val="-6"/>
          <w:sz w:val="32"/>
          <w:szCs w:val="32"/>
          <w:highlight w:val="none"/>
        </w:rPr>
      </w:pPr>
      <w:r>
        <w:rPr>
          <w:rFonts w:hint="default" w:ascii="Times New Roman" w:hAnsi="Times New Roman" w:eastAsia="楷体" w:cs="Times New Roman"/>
          <w:spacing w:val="-6"/>
          <w:sz w:val="32"/>
          <w:szCs w:val="32"/>
          <w:highlight w:val="none"/>
        </w:rPr>
        <w:t>第二节</w:t>
      </w:r>
      <w:r>
        <w:rPr>
          <w:rFonts w:hint="default" w:ascii="Times New Roman" w:hAnsi="Times New Roman" w:eastAsia="楷体" w:cs="Times New Roman"/>
          <w:spacing w:val="-6"/>
          <w:sz w:val="32"/>
          <w:szCs w:val="32"/>
          <w:highlight w:val="none"/>
          <w:lang w:val="en-US" w:eastAsia="zh-CN"/>
        </w:rPr>
        <w:t xml:space="preserve"> </w:t>
      </w:r>
      <w:r>
        <w:rPr>
          <w:rFonts w:hint="default" w:ascii="Times New Roman" w:hAnsi="Times New Roman" w:eastAsia="楷体" w:cs="Times New Roman"/>
          <w:spacing w:val="-6"/>
          <w:sz w:val="32"/>
          <w:szCs w:val="32"/>
          <w:highlight w:val="none"/>
        </w:rPr>
        <w:t>对外捐赠</w:t>
      </w:r>
    </w:p>
    <w:p w14:paraId="5C3FCB44">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第二十二条</w:t>
      </w:r>
      <w:r>
        <w:rPr>
          <w:rFonts w:hint="default" w:ascii="Times New Roman" w:hAnsi="Times New Roman" w:eastAsia="仿宋" w:cs="Times New Roman"/>
          <w:spacing w:val="-6"/>
          <w:sz w:val="32"/>
          <w:szCs w:val="32"/>
          <w:highlight w:val="none"/>
        </w:rPr>
        <w:t xml:space="preserve"> 对外捐赠是指区直行政事业单位依照《中华人民共和国公益事业捐赠法》</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自愿无偿将其占有、使用的国有资产赠与合法受赠人的行为。</w:t>
      </w:r>
    </w:p>
    <w:p w14:paraId="3AD47DF1">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区直行政事业单位对外捐赠应当利用本单位闲置资产或者淘汰且具有使用价值的资产，不得新购资产用于对外捐赠。</w:t>
      </w:r>
    </w:p>
    <w:p w14:paraId="7A2EDA6B">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同一主管部门上下级单位之间和部门所属区直行政事业单位之间，不得相互捐赠资产。</w:t>
      </w:r>
    </w:p>
    <w:p w14:paraId="724D343F">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第二十三条</w:t>
      </w:r>
      <w:r>
        <w:rPr>
          <w:rFonts w:hint="default" w:ascii="Times New Roman" w:hAnsi="Times New Roman" w:eastAsia="仿宋" w:cs="Times New Roman"/>
          <w:spacing w:val="-6"/>
          <w:sz w:val="32"/>
          <w:szCs w:val="32"/>
          <w:highlight w:val="none"/>
        </w:rPr>
        <w:t xml:space="preserve"> 区直行政事业单位申请对外捐赠国有资产，应当提交以下材料：</w:t>
      </w:r>
    </w:p>
    <w:p w14:paraId="5AF60681">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lang w:eastAsia="zh-CN"/>
        </w:rPr>
      </w:pPr>
      <w:r>
        <w:rPr>
          <w:rFonts w:hint="default" w:ascii="Times New Roman" w:hAnsi="Times New Roman" w:eastAsia="仿宋" w:cs="Times New Roman"/>
          <w:spacing w:val="-6"/>
          <w:sz w:val="32"/>
          <w:szCs w:val="32"/>
          <w:highlight w:val="none"/>
          <w:lang w:eastAsia="zh-CN"/>
        </w:rPr>
        <w:t>（一）</w:t>
      </w:r>
      <w:r>
        <w:rPr>
          <w:rFonts w:hint="default" w:ascii="Times New Roman" w:hAnsi="Times New Roman" w:eastAsia="仿宋" w:cs="Times New Roman"/>
          <w:spacing w:val="-6"/>
          <w:sz w:val="32"/>
          <w:szCs w:val="32"/>
          <w:highlight w:val="none"/>
        </w:rPr>
        <w:t>申请文件及单位内部决策文件，国有资产清单、价值凭证及权属证明</w:t>
      </w:r>
      <w:r>
        <w:rPr>
          <w:rFonts w:hint="default" w:ascii="Times New Roman" w:hAnsi="Times New Roman" w:eastAsia="仿宋" w:cs="Times New Roman"/>
          <w:spacing w:val="-6"/>
          <w:sz w:val="32"/>
          <w:szCs w:val="32"/>
          <w:highlight w:val="none"/>
          <w:lang w:eastAsia="zh-CN"/>
        </w:rPr>
        <w:t>，以及《区直行政事业单位国有资产无偿划转和对外捐赠申请表》；</w:t>
      </w:r>
    </w:p>
    <w:p w14:paraId="73947A4A">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（二）</w:t>
      </w:r>
      <w:r>
        <w:rPr>
          <w:rFonts w:hint="default" w:ascii="Times New Roman" w:hAnsi="Times New Roman" w:eastAsia="仿宋" w:cs="Times New Roman"/>
          <w:spacing w:val="-6"/>
          <w:sz w:val="32"/>
          <w:szCs w:val="32"/>
          <w:highlight w:val="none"/>
        </w:rPr>
        <w:t>对外捐赠报告，包括对外捐赠事由、方式、责任人、国有资产构成及其数额、对外捐赠事项对本单位财务状况和业务活动影响的分析等；</w:t>
      </w:r>
    </w:p>
    <w:p w14:paraId="556E6302">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（三）</w:t>
      </w:r>
      <w:r>
        <w:rPr>
          <w:rFonts w:hint="default" w:ascii="Times New Roman" w:hAnsi="Times New Roman" w:eastAsia="仿宋" w:cs="Times New Roman"/>
          <w:spacing w:val="-6"/>
          <w:sz w:val="32"/>
          <w:szCs w:val="32"/>
          <w:highlight w:val="none"/>
        </w:rPr>
        <w:t>其他相关材料。</w:t>
      </w:r>
    </w:p>
    <w:p w14:paraId="3C77C03F">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第二十四条</w:t>
      </w:r>
      <w:r>
        <w:rPr>
          <w:rFonts w:hint="default" w:ascii="Times New Roman" w:hAnsi="Times New Roman" w:eastAsia="仿宋" w:cs="Times New Roman"/>
          <w:spacing w:val="-6"/>
          <w:sz w:val="32"/>
          <w:szCs w:val="32"/>
          <w:highlight w:val="none"/>
        </w:rPr>
        <w:t xml:space="preserve"> 对外捐赠应当依据受赠方出具的同级财政部门或者相关主管部门统一印</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监</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制的捐赠收据，受赠方所在地城镇街道办事处、乡镇人民政府等出具的凭证或者捐赠资产交接清单予以确认。</w:t>
      </w:r>
    </w:p>
    <w:p w14:paraId="7616B96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楷体" w:cs="Times New Roman"/>
          <w:spacing w:val="-6"/>
          <w:sz w:val="32"/>
          <w:szCs w:val="32"/>
          <w:highlight w:val="none"/>
        </w:rPr>
      </w:pPr>
      <w:r>
        <w:rPr>
          <w:rFonts w:hint="default" w:ascii="Times New Roman" w:hAnsi="Times New Roman" w:eastAsia="楷体" w:cs="Times New Roman"/>
          <w:spacing w:val="-6"/>
          <w:sz w:val="32"/>
          <w:szCs w:val="32"/>
          <w:highlight w:val="none"/>
        </w:rPr>
        <w:t>第三节 转  让</w:t>
      </w:r>
    </w:p>
    <w:p w14:paraId="60A668F8">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第二十五条</w:t>
      </w:r>
      <w:r>
        <w:rPr>
          <w:rFonts w:hint="default" w:ascii="Times New Roman" w:hAnsi="Times New Roman" w:eastAsia="仿宋" w:cs="Times New Roman"/>
          <w:spacing w:val="-6"/>
          <w:sz w:val="32"/>
          <w:szCs w:val="32"/>
          <w:highlight w:val="none"/>
        </w:rPr>
        <w:t xml:space="preserve"> 转让是指区直行政事业单位变更国有资产占有、使用权并取得收益的行为。</w:t>
      </w:r>
    </w:p>
    <w:p w14:paraId="1FCBA38F">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区直行政事业单位转让国有资产，应当通过市公共资源交易平台，以拍卖</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公开招标</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挂牌等公开竞争方式进行处置，严格控制非公开协议方式。不合适拍卖、公开招标或经公开征集只有一个意向受让方的，经区政府批准，可以以协议转让等方式进行处置。</w:t>
      </w:r>
    </w:p>
    <w:p w14:paraId="6AB9B5DA">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采取拍卖、公开招标、挂牌等方式转让国有资产的，应当将资产处置公告刊登在公开媒介，披露有关信息。</w:t>
      </w:r>
    </w:p>
    <w:p w14:paraId="0312C964">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第二十六条</w:t>
      </w:r>
      <w:r>
        <w:rPr>
          <w:rFonts w:hint="default" w:ascii="Times New Roman" w:hAnsi="Times New Roman" w:eastAsia="仿宋" w:cs="Times New Roman"/>
          <w:spacing w:val="-6"/>
          <w:sz w:val="32"/>
          <w:szCs w:val="32"/>
          <w:highlight w:val="none"/>
        </w:rPr>
        <w:t xml:space="preserve"> 区直行政事业单位转让国有资产，以经核准的资产评估报告所确认的评估价值作为确定底价的参考依据。意向交易价格低于评估结果90%的，应当报资产评估报告核准部门重新确认后交易，原则上不低于评估结果的80%。</w:t>
      </w:r>
    </w:p>
    <w:p w14:paraId="31A35038">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第二十七条</w:t>
      </w:r>
      <w:r>
        <w:rPr>
          <w:rFonts w:hint="default" w:ascii="Times New Roman" w:hAnsi="Times New Roman" w:eastAsia="仿宋" w:cs="Times New Roman"/>
          <w:spacing w:val="-6"/>
          <w:sz w:val="32"/>
          <w:szCs w:val="32"/>
          <w:highlight w:val="none"/>
        </w:rPr>
        <w:t xml:space="preserve"> 区直行政事业单位申请转让国有资产，应当提交以下材料：</w:t>
      </w:r>
    </w:p>
    <w:p w14:paraId="5A418DBB">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（一）</w:t>
      </w:r>
      <w:r>
        <w:rPr>
          <w:rFonts w:hint="default" w:ascii="Times New Roman" w:hAnsi="Times New Roman" w:eastAsia="仿宋" w:cs="Times New Roman"/>
          <w:spacing w:val="-6"/>
          <w:sz w:val="32"/>
          <w:szCs w:val="32"/>
          <w:highlight w:val="none"/>
        </w:rPr>
        <w:t>申请文件及单位内部决策文件，国有资产清单、价值凭证及权属证明</w:t>
      </w:r>
      <w:r>
        <w:rPr>
          <w:rFonts w:hint="default" w:ascii="Times New Roman" w:hAnsi="Times New Roman" w:eastAsia="仿宋" w:cs="Times New Roman"/>
          <w:spacing w:val="-6"/>
          <w:sz w:val="32"/>
          <w:szCs w:val="32"/>
          <w:highlight w:val="none"/>
          <w:lang w:eastAsia="zh-CN"/>
        </w:rPr>
        <w:t>，以及《区直行政事业单位国有资产转让等申请表》（附件</w:t>
      </w:r>
      <w:r>
        <w:rPr>
          <w:rFonts w:hint="default" w:ascii="Times New Roman" w:hAnsi="Times New Roman" w:eastAsia="仿宋" w:cs="Times New Roman"/>
          <w:spacing w:val="-6"/>
          <w:sz w:val="32"/>
          <w:szCs w:val="32"/>
          <w:highlight w:val="none"/>
          <w:lang w:val="en-US" w:eastAsia="zh-CN"/>
        </w:rPr>
        <w:t>2</w:t>
      </w:r>
      <w:r>
        <w:rPr>
          <w:rFonts w:hint="default" w:ascii="Times New Roman" w:hAnsi="Times New Roman" w:eastAsia="仿宋" w:cs="Times New Roman"/>
          <w:spacing w:val="-6"/>
          <w:sz w:val="32"/>
          <w:szCs w:val="32"/>
          <w:highlight w:val="none"/>
          <w:lang w:eastAsia="zh-CN"/>
        </w:rPr>
        <w:t>）；</w:t>
      </w:r>
    </w:p>
    <w:p w14:paraId="72831126">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（二）</w:t>
      </w:r>
      <w:r>
        <w:rPr>
          <w:rFonts w:hint="default" w:ascii="Times New Roman" w:hAnsi="Times New Roman" w:eastAsia="仿宋" w:cs="Times New Roman"/>
          <w:spacing w:val="-6"/>
          <w:sz w:val="32"/>
          <w:szCs w:val="32"/>
          <w:highlight w:val="none"/>
        </w:rPr>
        <w:t>转让方案，包括国有资产的基本情况，转让的原因、方式，可行性及风险分析等；</w:t>
      </w:r>
    </w:p>
    <w:p w14:paraId="62AD38DE">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（三）</w:t>
      </w:r>
      <w:r>
        <w:rPr>
          <w:rFonts w:hint="default" w:ascii="Times New Roman" w:hAnsi="Times New Roman" w:eastAsia="仿宋" w:cs="Times New Roman"/>
          <w:spacing w:val="-6"/>
          <w:sz w:val="32"/>
          <w:szCs w:val="32"/>
          <w:highlight w:val="none"/>
        </w:rPr>
        <w:t>转让方和受让方签署的意向性协议；</w:t>
      </w:r>
    </w:p>
    <w:p w14:paraId="626A620B">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（四）</w:t>
      </w:r>
      <w:r>
        <w:rPr>
          <w:rFonts w:hint="default" w:ascii="Times New Roman" w:hAnsi="Times New Roman" w:eastAsia="仿宋" w:cs="Times New Roman"/>
          <w:spacing w:val="-6"/>
          <w:sz w:val="32"/>
          <w:szCs w:val="32"/>
          <w:highlight w:val="none"/>
        </w:rPr>
        <w:t>国有资产目前的使用情况说明及转让方同类资产情况；</w:t>
      </w:r>
    </w:p>
    <w:p w14:paraId="17620AE2">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（五）</w:t>
      </w:r>
      <w:r>
        <w:rPr>
          <w:rFonts w:hint="default" w:ascii="Times New Roman" w:hAnsi="Times New Roman" w:eastAsia="仿宋" w:cs="Times New Roman"/>
          <w:spacing w:val="-6"/>
          <w:sz w:val="32"/>
          <w:szCs w:val="32"/>
          <w:highlight w:val="none"/>
        </w:rPr>
        <w:t>具备相应资质的中介机构出具的资产评估报告；</w:t>
      </w:r>
    </w:p>
    <w:p w14:paraId="400210B3">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（六）</w:t>
      </w:r>
      <w:r>
        <w:rPr>
          <w:rFonts w:hint="default" w:ascii="Times New Roman" w:hAnsi="Times New Roman" w:eastAsia="仿宋" w:cs="Times New Roman"/>
          <w:spacing w:val="-6"/>
          <w:sz w:val="32"/>
          <w:szCs w:val="32"/>
          <w:highlight w:val="none"/>
        </w:rPr>
        <w:t>其他相关材料。</w:t>
      </w:r>
    </w:p>
    <w:p w14:paraId="028C504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楷体" w:cs="Times New Roman"/>
          <w:spacing w:val="-6"/>
          <w:sz w:val="32"/>
          <w:szCs w:val="32"/>
          <w:highlight w:val="none"/>
        </w:rPr>
      </w:pPr>
      <w:r>
        <w:rPr>
          <w:rFonts w:hint="default" w:ascii="Times New Roman" w:hAnsi="Times New Roman" w:eastAsia="楷体" w:cs="Times New Roman"/>
          <w:spacing w:val="-6"/>
          <w:sz w:val="32"/>
          <w:szCs w:val="32"/>
          <w:highlight w:val="none"/>
        </w:rPr>
        <w:t>第四节 置 换</w:t>
      </w:r>
    </w:p>
    <w:p w14:paraId="37D78565">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第二十八条</w:t>
      </w:r>
      <w:r>
        <w:rPr>
          <w:rFonts w:hint="default" w:ascii="Times New Roman" w:hAnsi="Times New Roman" w:eastAsia="仿宋" w:cs="Times New Roman"/>
          <w:spacing w:val="-6"/>
          <w:sz w:val="32"/>
          <w:szCs w:val="32"/>
          <w:highlight w:val="none"/>
        </w:rPr>
        <w:t xml:space="preserve"> 置换是指区直行政事业单位与其他单位以固定资产、无形资产等非货币性资产为主进行的资产交换，一般不涉及或者只涉及用于补差价的少量货币性资产。</w:t>
      </w:r>
    </w:p>
    <w:p w14:paraId="5FA318A1">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资产置换，应当以经核准的资产评估报告所确认的评估价值作为置换对价的参考依据。</w:t>
      </w:r>
    </w:p>
    <w:p w14:paraId="6E0CDC57">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第二十九条</w:t>
      </w:r>
      <w:r>
        <w:rPr>
          <w:rFonts w:hint="default" w:ascii="Times New Roman" w:hAnsi="Times New Roman" w:eastAsia="仿宋" w:cs="Times New Roman"/>
          <w:spacing w:val="-6"/>
          <w:sz w:val="32"/>
          <w:szCs w:val="32"/>
          <w:highlight w:val="none"/>
        </w:rPr>
        <w:t xml:space="preserve"> 区直行政事业单位申请置换国有资产，应当提交以下材料：</w:t>
      </w:r>
    </w:p>
    <w:p w14:paraId="11C9ABC6">
      <w:pPr>
        <w:keepNext w:val="0"/>
        <w:keepLines w:val="0"/>
        <w:pageBreakBefore w:val="0"/>
        <w:widowControl w:val="0"/>
        <w:numPr>
          <w:ilvl w:val="0"/>
          <w:numId w:val="1"/>
        </w:numPr>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申请文件及双方单位内部决策文件，双方资产价值凭证及权属证明</w:t>
      </w:r>
      <w:r>
        <w:rPr>
          <w:rFonts w:hint="default" w:ascii="Times New Roman" w:hAnsi="Times New Roman" w:eastAsia="仿宋" w:cs="Times New Roman"/>
          <w:spacing w:val="-6"/>
          <w:sz w:val="32"/>
          <w:szCs w:val="32"/>
          <w:highlight w:val="none"/>
          <w:lang w:eastAsia="zh-CN"/>
        </w:rPr>
        <w:t>，以及《区直行政事业单位国有资产转让等申请表》；</w:t>
      </w:r>
      <w:r>
        <w:rPr>
          <w:rFonts w:hint="default" w:ascii="Times New Roman" w:hAnsi="Times New Roman" w:eastAsia="仿宋" w:cs="Times New Roman"/>
          <w:spacing w:val="-6"/>
          <w:sz w:val="32"/>
          <w:szCs w:val="32"/>
          <w:highlight w:val="none"/>
          <w:lang w:val="en-US" w:eastAsia="zh-CN"/>
        </w:rPr>
        <w:t xml:space="preserve"> </w:t>
      </w:r>
    </w:p>
    <w:p w14:paraId="32752FB1">
      <w:pPr>
        <w:keepNext w:val="0"/>
        <w:keepLines w:val="0"/>
        <w:pageBreakBefore w:val="0"/>
        <w:widowControl w:val="0"/>
        <w:numPr>
          <w:ilvl w:val="0"/>
          <w:numId w:val="1"/>
        </w:numPr>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置换方案，包括双方拟用于置换资产的基本情况、设置担保情况，置换的原因、方式</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可行性及风险分析等；</w:t>
      </w:r>
    </w:p>
    <w:p w14:paraId="7D5922BC">
      <w:pPr>
        <w:keepNext w:val="0"/>
        <w:keepLines w:val="0"/>
        <w:pageBreakBefore w:val="0"/>
        <w:widowControl w:val="0"/>
        <w:numPr>
          <w:ilvl w:val="0"/>
          <w:numId w:val="1"/>
        </w:numPr>
        <w:kinsoku/>
        <w:wordWrap/>
        <w:overflowPunct/>
        <w:topLinePunct w:val="0"/>
        <w:autoSpaceDE/>
        <w:autoSpaceDN/>
        <w:bidi w:val="0"/>
        <w:adjustRightInd/>
        <w:snapToGrid/>
        <w:ind w:left="0" w:leftChars="0"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置换双方签署的意向性协议；</w:t>
      </w:r>
    </w:p>
    <w:p w14:paraId="425B7725">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（四）</w:t>
      </w:r>
      <w:r>
        <w:rPr>
          <w:rFonts w:hint="default" w:ascii="Times New Roman" w:hAnsi="Times New Roman" w:eastAsia="仿宋" w:cs="Times New Roman"/>
          <w:spacing w:val="-6"/>
          <w:sz w:val="32"/>
          <w:szCs w:val="32"/>
          <w:highlight w:val="none"/>
        </w:rPr>
        <w:t>其他相关材料。</w:t>
      </w:r>
    </w:p>
    <w:p w14:paraId="750229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楷体" w:cs="Times New Roman"/>
          <w:spacing w:val="-6"/>
          <w:sz w:val="32"/>
          <w:szCs w:val="32"/>
          <w:highlight w:val="none"/>
        </w:rPr>
        <w:t>第五节 报 废</w:t>
      </w:r>
    </w:p>
    <w:p w14:paraId="14E1F00D">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第三十条</w:t>
      </w:r>
      <w:r>
        <w:rPr>
          <w:rFonts w:hint="default" w:ascii="Times New Roman" w:hAnsi="Times New Roman" w:eastAsia="仿宋" w:cs="Times New Roman"/>
          <w:spacing w:val="-6"/>
          <w:sz w:val="32"/>
          <w:szCs w:val="32"/>
          <w:highlight w:val="none"/>
        </w:rPr>
        <w:t xml:space="preserve"> 报废是指按照有关规定或者经有关部门、机构、专家鉴定，对因技术原因确需淘汰或者无法维修、无维修价值的国有资产，或者已超过使用年限且无法满足工作需要的国有资产，进行产权核销的国有资产处置行为。</w:t>
      </w:r>
    </w:p>
    <w:p w14:paraId="1C68929C">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第三十一条</w:t>
      </w:r>
      <w:r>
        <w:rPr>
          <w:rFonts w:hint="default" w:ascii="Times New Roman" w:hAnsi="Times New Roman" w:eastAsia="仿宋" w:cs="Times New Roman"/>
          <w:spacing w:val="-6"/>
          <w:sz w:val="32"/>
          <w:szCs w:val="32"/>
          <w:highlight w:val="none"/>
        </w:rPr>
        <w:t xml:space="preserve"> 区直行政事业单位已达使用年限仍可满足工作需要或具备调剂使用条件的国有资产，不得报废，按照实际需求继续使用。</w:t>
      </w:r>
    </w:p>
    <w:p w14:paraId="49C27D2A">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lang w:eastAsia="zh-CN"/>
        </w:rPr>
      </w:pPr>
      <w:r>
        <w:rPr>
          <w:rFonts w:hint="default" w:ascii="Times New Roman" w:hAnsi="Times New Roman" w:eastAsia="仿宋" w:cs="Times New Roman"/>
          <w:spacing w:val="-6"/>
          <w:sz w:val="32"/>
          <w:szCs w:val="32"/>
          <w:highlight w:val="none"/>
          <w:lang w:eastAsia="zh-CN"/>
        </w:rPr>
        <w:t>未达使用年限但确无法维修、无维修价值的国有资产报废，需由申请单位、主管部门、驻单位纪检组人员共同组成鉴证小组出具鉴证报告。</w:t>
      </w:r>
    </w:p>
    <w:p w14:paraId="1E73B6D1">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lang w:eastAsia="zh-CN"/>
        </w:rPr>
      </w:pPr>
      <w:r>
        <w:rPr>
          <w:rFonts w:hint="default" w:ascii="Times New Roman" w:hAnsi="Times New Roman" w:eastAsia="仿宋" w:cs="Times New Roman"/>
          <w:spacing w:val="-6"/>
          <w:sz w:val="32"/>
          <w:szCs w:val="32"/>
          <w:highlight w:val="none"/>
        </w:rPr>
        <w:t>国家或行业对资产报废有技术要求的，应当由具备相应资质的专业机构进行技术鉴定。</w:t>
      </w:r>
    </w:p>
    <w:p w14:paraId="5B64816E">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区直行政事业单位国有资产使用年限按照国家统一的行业财务会计制度有关规定执行。国家另有规定的，从其规定。</w:t>
      </w:r>
    </w:p>
    <w:p w14:paraId="687EBD59">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第三十二条</w:t>
      </w:r>
      <w:r>
        <w:rPr>
          <w:rFonts w:hint="default" w:ascii="Times New Roman" w:hAnsi="Times New Roman" w:eastAsia="仿宋" w:cs="Times New Roman"/>
          <w:spacing w:val="-6"/>
          <w:sz w:val="32"/>
          <w:szCs w:val="32"/>
          <w:highlight w:val="none"/>
        </w:rPr>
        <w:t xml:space="preserve"> 经审批同意报废处置的国有资产，国家、省</w:t>
      </w:r>
      <w:r>
        <w:rPr>
          <w:rFonts w:hint="default" w:ascii="Times New Roman" w:hAnsi="Times New Roman" w:eastAsia="仿宋" w:cs="Times New Roman"/>
          <w:spacing w:val="-6"/>
          <w:sz w:val="32"/>
          <w:szCs w:val="32"/>
          <w:highlight w:val="none"/>
          <w:lang w:eastAsia="zh-CN"/>
        </w:rPr>
        <w:t>、市及区</w:t>
      </w:r>
      <w:r>
        <w:rPr>
          <w:rFonts w:hint="default" w:ascii="Times New Roman" w:hAnsi="Times New Roman" w:eastAsia="仿宋" w:cs="Times New Roman"/>
          <w:spacing w:val="-6"/>
          <w:sz w:val="32"/>
          <w:szCs w:val="32"/>
          <w:highlight w:val="none"/>
        </w:rPr>
        <w:t>有规定集中回收处理的，按其规定执行；未有规定的，应通过招投标或竞价等方式公开处理。</w:t>
      </w:r>
    </w:p>
    <w:p w14:paraId="35A80B4C">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车辆、电器电子产品、危险品等国有资产报废处理，国家、省</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市另有规定的，从其规定。</w:t>
      </w:r>
    </w:p>
    <w:p w14:paraId="7A77AC8C">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第三十三条</w:t>
      </w:r>
      <w:r>
        <w:rPr>
          <w:rFonts w:hint="default" w:ascii="Times New Roman" w:hAnsi="Times New Roman" w:eastAsia="仿宋" w:cs="Times New Roman"/>
          <w:spacing w:val="-6"/>
          <w:sz w:val="32"/>
          <w:szCs w:val="32"/>
          <w:highlight w:val="none"/>
        </w:rPr>
        <w:t xml:space="preserve"> 区直行政事业单位申请报废国有资产，应当提交以下材料：</w:t>
      </w:r>
    </w:p>
    <w:p w14:paraId="4EF84CA2">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lang w:eastAsia="zh-CN"/>
        </w:rPr>
      </w:pPr>
      <w:r>
        <w:rPr>
          <w:rFonts w:hint="default" w:ascii="Times New Roman" w:hAnsi="Times New Roman" w:eastAsia="仿宋" w:cs="Times New Roman"/>
          <w:spacing w:val="-6"/>
          <w:sz w:val="32"/>
          <w:szCs w:val="32"/>
          <w:highlight w:val="none"/>
          <w:lang w:eastAsia="zh-CN"/>
        </w:rPr>
        <w:t>（一）</w:t>
      </w:r>
      <w:r>
        <w:rPr>
          <w:rFonts w:hint="default" w:ascii="Times New Roman" w:hAnsi="Times New Roman" w:eastAsia="仿宋" w:cs="Times New Roman"/>
          <w:spacing w:val="-6"/>
          <w:sz w:val="32"/>
          <w:szCs w:val="32"/>
          <w:highlight w:val="none"/>
        </w:rPr>
        <w:t>申请文件及单位内部决策文件，国有资产清单、价值凭证及权属证明</w:t>
      </w:r>
      <w:r>
        <w:rPr>
          <w:rFonts w:hint="default" w:ascii="Times New Roman" w:hAnsi="Times New Roman" w:eastAsia="仿宋" w:cs="Times New Roman"/>
          <w:spacing w:val="-6"/>
          <w:sz w:val="32"/>
          <w:szCs w:val="32"/>
          <w:highlight w:val="none"/>
          <w:lang w:eastAsia="zh-CN"/>
        </w:rPr>
        <w:t>，以及《区直行政事业单位国有资产转让等申请表》；</w:t>
      </w:r>
    </w:p>
    <w:p w14:paraId="158893B0">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（二）</w:t>
      </w:r>
      <w:r>
        <w:rPr>
          <w:rFonts w:hint="default" w:ascii="Times New Roman" w:hAnsi="Times New Roman" w:eastAsia="仿宋" w:cs="Times New Roman"/>
          <w:spacing w:val="-6"/>
          <w:sz w:val="32"/>
          <w:szCs w:val="32"/>
          <w:highlight w:val="none"/>
        </w:rPr>
        <w:t>因技术原因报废的，需提交有关部门、机构、专家出具的鉴定文件及处理意见；</w:t>
      </w:r>
    </w:p>
    <w:p w14:paraId="1364937C">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（三）</w:t>
      </w:r>
      <w:r>
        <w:rPr>
          <w:rFonts w:hint="default" w:ascii="Times New Roman" w:hAnsi="Times New Roman" w:eastAsia="仿宋" w:cs="Times New Roman"/>
          <w:spacing w:val="-6"/>
          <w:sz w:val="32"/>
          <w:szCs w:val="32"/>
          <w:highlight w:val="none"/>
        </w:rPr>
        <w:t>因房屋拆除等原因需报废国有资产的，提交相关职能部门的房屋拆除批复文件、建设项目拆建立项文件、双方签定的房屋拆迁补偿协议等；</w:t>
      </w:r>
    </w:p>
    <w:p w14:paraId="0390B864">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（四）</w:t>
      </w:r>
      <w:r>
        <w:rPr>
          <w:rFonts w:hint="default" w:ascii="Times New Roman" w:hAnsi="Times New Roman" w:eastAsia="仿宋" w:cs="Times New Roman"/>
          <w:spacing w:val="-6"/>
          <w:sz w:val="32"/>
          <w:szCs w:val="32"/>
          <w:highlight w:val="none"/>
        </w:rPr>
        <w:t>专利、非专利技术、著作权、资源资质等因被其他新技术所代替或者已经超过法律保护的期限、丧失使用价值和转让价值的，提供有关技术部门的鉴定材料，或者已经超过法律保护期限的证明文件；</w:t>
      </w:r>
    </w:p>
    <w:p w14:paraId="4B4F653A">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（五）</w:t>
      </w:r>
      <w:r>
        <w:rPr>
          <w:rFonts w:hint="default" w:ascii="Times New Roman" w:hAnsi="Times New Roman" w:eastAsia="仿宋" w:cs="Times New Roman"/>
          <w:spacing w:val="-6"/>
          <w:sz w:val="32"/>
          <w:szCs w:val="32"/>
          <w:highlight w:val="none"/>
        </w:rPr>
        <w:t>其他相关材料。</w:t>
      </w:r>
    </w:p>
    <w:p w14:paraId="4EC5EF2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楷体" w:cs="Times New Roman"/>
          <w:spacing w:val="-6"/>
          <w:sz w:val="32"/>
          <w:szCs w:val="32"/>
          <w:highlight w:val="none"/>
        </w:rPr>
      </w:pPr>
      <w:r>
        <w:rPr>
          <w:rFonts w:hint="default" w:ascii="Times New Roman" w:hAnsi="Times New Roman" w:eastAsia="楷体" w:cs="Times New Roman"/>
          <w:spacing w:val="-6"/>
          <w:sz w:val="32"/>
          <w:szCs w:val="32"/>
          <w:highlight w:val="none"/>
        </w:rPr>
        <w:t>第六节 损失核销</w:t>
      </w:r>
    </w:p>
    <w:p w14:paraId="78010708">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第三十四条</w:t>
      </w:r>
      <w:r>
        <w:rPr>
          <w:rFonts w:hint="default" w:ascii="Times New Roman" w:hAnsi="Times New Roman" w:eastAsia="仿宋" w:cs="Times New Roman"/>
          <w:spacing w:val="-6"/>
          <w:sz w:val="32"/>
          <w:szCs w:val="32"/>
          <w:highlight w:val="none"/>
        </w:rPr>
        <w:t xml:space="preserve"> 损失核销是指由于发生盘亏、毁损、非正常损</w:t>
      </w:r>
    </w:p>
    <w:p w14:paraId="56E75092">
      <w:pPr>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失等原因，按照有关规定对国有资产损失进行核销的国有资产处置行为。</w:t>
      </w:r>
    </w:p>
    <w:p w14:paraId="2B6D5154">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区直行政事业单位对发生的国有资产损失，应当及时处理。</w:t>
      </w:r>
    </w:p>
    <w:p w14:paraId="4A1C5575">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第三十五条</w:t>
      </w:r>
      <w:r>
        <w:rPr>
          <w:rFonts w:hint="default" w:ascii="Times New Roman" w:hAnsi="Times New Roman" w:eastAsia="仿宋" w:cs="Times New Roman"/>
          <w:spacing w:val="-6"/>
          <w:sz w:val="32"/>
          <w:szCs w:val="32"/>
          <w:highlight w:val="none"/>
        </w:rPr>
        <w:t xml:space="preserve"> 区直行政事业单位申请存货、固定资产、无形资产等国有资产损失核销，应当提交以下材料：</w:t>
      </w:r>
    </w:p>
    <w:p w14:paraId="12FA0953">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lang w:eastAsia="zh-CN"/>
        </w:rPr>
      </w:pPr>
      <w:r>
        <w:rPr>
          <w:rFonts w:hint="default" w:ascii="Times New Roman" w:hAnsi="Times New Roman" w:eastAsia="仿宋" w:cs="Times New Roman"/>
          <w:spacing w:val="-6"/>
          <w:sz w:val="32"/>
          <w:szCs w:val="32"/>
          <w:highlight w:val="none"/>
          <w:lang w:eastAsia="zh-CN"/>
        </w:rPr>
        <w:t>（一）</w:t>
      </w:r>
      <w:r>
        <w:rPr>
          <w:rFonts w:hint="default" w:ascii="Times New Roman" w:hAnsi="Times New Roman" w:eastAsia="仿宋" w:cs="Times New Roman"/>
          <w:spacing w:val="-6"/>
          <w:sz w:val="32"/>
          <w:szCs w:val="32"/>
          <w:highlight w:val="none"/>
        </w:rPr>
        <w:t>申请文件及单位内部决策文件，国有资产清单、价值凭证及权属证明</w:t>
      </w:r>
      <w:r>
        <w:rPr>
          <w:rFonts w:hint="default" w:ascii="Times New Roman" w:hAnsi="Times New Roman" w:eastAsia="仿宋" w:cs="Times New Roman"/>
          <w:spacing w:val="-6"/>
          <w:sz w:val="32"/>
          <w:szCs w:val="32"/>
          <w:highlight w:val="none"/>
          <w:lang w:eastAsia="zh-CN"/>
        </w:rPr>
        <w:t>，以及《区直行政事业单位国有资产转让等申请表》；</w:t>
      </w:r>
    </w:p>
    <w:p w14:paraId="69E82F9E">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（二）</w:t>
      </w:r>
      <w:r>
        <w:rPr>
          <w:rFonts w:hint="default" w:ascii="Times New Roman" w:hAnsi="Times New Roman" w:eastAsia="仿宋" w:cs="Times New Roman"/>
          <w:spacing w:val="-6"/>
          <w:sz w:val="32"/>
          <w:szCs w:val="32"/>
          <w:highlight w:val="none"/>
        </w:rPr>
        <w:t>国有资产盘亏、毁损及非正常损失的情况说明，第三方机构出具的经济鉴证证明、国家有关技术鉴定部门或者具有技术鉴定资格的第三方机构出具的技术鉴定证明</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涉及保险索赔的应当有保险公司理赔情况说明</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等有效证明，赔偿责任认定说明和单位内部核批文件；</w:t>
      </w:r>
    </w:p>
    <w:p w14:paraId="4C9C4C66">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（三）</w:t>
      </w:r>
      <w:r>
        <w:rPr>
          <w:rFonts w:hint="default" w:ascii="Times New Roman" w:hAnsi="Times New Roman" w:eastAsia="仿宋" w:cs="Times New Roman"/>
          <w:spacing w:val="-6"/>
          <w:sz w:val="32"/>
          <w:szCs w:val="32"/>
          <w:highlight w:val="none"/>
        </w:rPr>
        <w:t>国有资产被盗的，需要提供公安机关出具的报案、立案或结案证明；</w:t>
      </w:r>
    </w:p>
    <w:p w14:paraId="207BF6F4">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（四）</w:t>
      </w:r>
      <w:r>
        <w:rPr>
          <w:rFonts w:hint="default" w:ascii="Times New Roman" w:hAnsi="Times New Roman" w:eastAsia="仿宋" w:cs="Times New Roman"/>
          <w:spacing w:val="-6"/>
          <w:sz w:val="32"/>
          <w:szCs w:val="32"/>
          <w:highlight w:val="none"/>
        </w:rPr>
        <w:t>因不可抗力因素</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自然灾害、意外事故等</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造成国有资产毁损的，需要提供相关部门出具的受灾证明、事故处理报告、车辆报损证明、房屋拆除证明等；</w:t>
      </w:r>
    </w:p>
    <w:p w14:paraId="31AE6A4E">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（五）</w:t>
      </w:r>
      <w:r>
        <w:rPr>
          <w:rFonts w:hint="default" w:ascii="Times New Roman" w:hAnsi="Times New Roman" w:eastAsia="仿宋" w:cs="Times New Roman"/>
          <w:spacing w:val="-6"/>
          <w:sz w:val="32"/>
          <w:szCs w:val="32"/>
          <w:highlight w:val="none"/>
        </w:rPr>
        <w:t>其他相关材料。</w:t>
      </w:r>
    </w:p>
    <w:p w14:paraId="14D6CCA0">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第三十六条</w:t>
      </w:r>
      <w:r>
        <w:rPr>
          <w:rFonts w:hint="default" w:ascii="Times New Roman" w:hAnsi="Times New Roman" w:eastAsia="仿宋" w:cs="Times New Roman"/>
          <w:spacing w:val="-6"/>
          <w:sz w:val="32"/>
          <w:szCs w:val="32"/>
          <w:highlight w:val="none"/>
        </w:rPr>
        <w:t xml:space="preserve"> 区直行政事业单位申请对外投资、担保</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抵押</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国有资产的损失核销，应当提交以下材料：</w:t>
      </w:r>
    </w:p>
    <w:p w14:paraId="18BD89DA">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lang w:eastAsia="zh-CN"/>
        </w:rPr>
      </w:pPr>
      <w:r>
        <w:rPr>
          <w:rFonts w:hint="default" w:ascii="Times New Roman" w:hAnsi="Times New Roman" w:eastAsia="仿宋" w:cs="Times New Roman"/>
          <w:spacing w:val="-6"/>
          <w:sz w:val="32"/>
          <w:szCs w:val="32"/>
          <w:highlight w:val="none"/>
          <w:lang w:eastAsia="zh-CN"/>
        </w:rPr>
        <w:t>（一）</w:t>
      </w:r>
      <w:r>
        <w:rPr>
          <w:rFonts w:hint="default" w:ascii="Times New Roman" w:hAnsi="Times New Roman" w:eastAsia="仿宋" w:cs="Times New Roman"/>
          <w:spacing w:val="-6"/>
          <w:sz w:val="32"/>
          <w:szCs w:val="32"/>
          <w:highlight w:val="none"/>
        </w:rPr>
        <w:t>申请文件及单位内部决策文件，国有资产清单、价值凭证及权属证明</w:t>
      </w:r>
      <w:r>
        <w:rPr>
          <w:rFonts w:hint="default" w:ascii="Times New Roman" w:hAnsi="Times New Roman" w:eastAsia="仿宋" w:cs="Times New Roman"/>
          <w:spacing w:val="-6"/>
          <w:sz w:val="32"/>
          <w:szCs w:val="32"/>
          <w:highlight w:val="none"/>
          <w:lang w:eastAsia="zh-CN"/>
        </w:rPr>
        <w:t>，以及《区直行政事业单位国有资产转让等申请表》；</w:t>
      </w:r>
    </w:p>
    <w:p w14:paraId="005905DD">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lang w:eastAsia="zh-CN"/>
        </w:rPr>
      </w:pPr>
      <w:r>
        <w:rPr>
          <w:rFonts w:hint="default" w:ascii="Times New Roman" w:hAnsi="Times New Roman" w:eastAsia="仿宋" w:cs="Times New Roman"/>
          <w:spacing w:val="-6"/>
          <w:sz w:val="32"/>
          <w:szCs w:val="32"/>
          <w:highlight w:val="none"/>
          <w:lang w:eastAsia="zh-CN"/>
        </w:rPr>
        <w:t>（二）</w:t>
      </w:r>
      <w:r>
        <w:rPr>
          <w:rFonts w:hint="default" w:ascii="Times New Roman" w:hAnsi="Times New Roman" w:eastAsia="仿宋" w:cs="Times New Roman"/>
          <w:spacing w:val="-6"/>
          <w:sz w:val="32"/>
          <w:szCs w:val="32"/>
          <w:highlight w:val="none"/>
        </w:rPr>
        <w:t>形成损失的情况说明、被投资单位的清算审计报告及注销文件、第三方机构出具的经济鉴证证明和具有法律效力的证明材料</w:t>
      </w:r>
      <w:r>
        <w:rPr>
          <w:rFonts w:hint="default" w:ascii="Times New Roman" w:hAnsi="Times New Roman" w:eastAsia="仿宋" w:cs="Times New Roman"/>
          <w:spacing w:val="-6"/>
          <w:sz w:val="32"/>
          <w:szCs w:val="32"/>
          <w:highlight w:val="none"/>
          <w:lang w:eastAsia="zh-CN"/>
        </w:rPr>
        <w:t>；</w:t>
      </w:r>
    </w:p>
    <w:p w14:paraId="7037E62C">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（三）</w:t>
      </w:r>
      <w:r>
        <w:rPr>
          <w:rFonts w:hint="default" w:ascii="Times New Roman" w:hAnsi="Times New Roman" w:eastAsia="仿宋" w:cs="Times New Roman"/>
          <w:spacing w:val="-6"/>
          <w:sz w:val="32"/>
          <w:szCs w:val="32"/>
          <w:highlight w:val="none"/>
        </w:rPr>
        <w:t>涉及仲裁或者提起诉讼的，提交仲裁决定或者法院判决等相关法律文书；</w:t>
      </w:r>
    </w:p>
    <w:p w14:paraId="7B8526F0">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（四）</w:t>
      </w:r>
      <w:r>
        <w:rPr>
          <w:rFonts w:hint="default" w:ascii="Times New Roman" w:hAnsi="Times New Roman" w:eastAsia="仿宋" w:cs="Times New Roman"/>
          <w:spacing w:val="-6"/>
          <w:sz w:val="32"/>
          <w:szCs w:val="32"/>
          <w:highlight w:val="none"/>
        </w:rPr>
        <w:t>其他相关材料。</w:t>
      </w:r>
    </w:p>
    <w:p w14:paraId="05D53F00">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第三十七条</w:t>
      </w:r>
      <w:r>
        <w:rPr>
          <w:rFonts w:hint="default" w:ascii="Times New Roman" w:hAnsi="Times New Roman" w:eastAsia="仿宋" w:cs="Times New Roman"/>
          <w:spacing w:val="-6"/>
          <w:sz w:val="32"/>
          <w:szCs w:val="32"/>
          <w:highlight w:val="none"/>
        </w:rPr>
        <w:t xml:space="preserve"> 申请国有资产损失核销前，应当通过公告、诉讼等方式向债务人、担保人或责任人追索。</w:t>
      </w:r>
    </w:p>
    <w:p w14:paraId="5F553101">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区直行政事业单位应当对损失核销的国有资产备查登记，实行</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账销案存</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的方式管理，对已批准核销的资产损失，单位仍有追偿的权利和义务。对</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账销案存</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资产清理和追索收回的资产</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应当及时入账</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并按财务管理有关规定执行。</w:t>
      </w:r>
    </w:p>
    <w:p w14:paraId="77D78322">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第三十八条</w:t>
      </w:r>
      <w:r>
        <w:rPr>
          <w:rFonts w:hint="default" w:ascii="Times New Roman" w:hAnsi="Times New Roman" w:eastAsia="仿宋" w:cs="Times New Roman"/>
          <w:spacing w:val="-6"/>
          <w:sz w:val="32"/>
          <w:szCs w:val="32"/>
          <w:highlight w:val="none"/>
        </w:rPr>
        <w:t xml:space="preserve"> 经审批同意损失核销处置的国有资产，参照第三十二条报废处置相关规定进行处理。</w:t>
      </w:r>
    </w:p>
    <w:p w14:paraId="7CAE4EB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第四章</w:t>
      </w:r>
      <w:r>
        <w:rPr>
          <w:rFonts w:hint="default" w:ascii="Times New Roman" w:hAnsi="Times New Roman" w:eastAsia="黑体" w:cs="Times New Roman"/>
          <w:spacing w:val="-6"/>
          <w:sz w:val="32"/>
          <w:szCs w:val="32"/>
          <w:highlight w:val="none"/>
          <w:lang w:val="en-US" w:eastAsia="zh-CN"/>
        </w:rPr>
        <w:t xml:space="preserve"> </w:t>
      </w:r>
      <w:r>
        <w:rPr>
          <w:rFonts w:hint="default" w:ascii="Times New Roman" w:hAnsi="Times New Roman" w:eastAsia="黑体" w:cs="Times New Roman"/>
          <w:spacing w:val="-6"/>
          <w:sz w:val="32"/>
          <w:szCs w:val="32"/>
          <w:highlight w:val="none"/>
        </w:rPr>
        <w:t>处置收入管理</w:t>
      </w:r>
    </w:p>
    <w:p w14:paraId="55FCF5E4">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第三十九条</w:t>
      </w:r>
      <w:r>
        <w:rPr>
          <w:rFonts w:hint="default" w:ascii="Times New Roman" w:hAnsi="Times New Roman" w:eastAsia="仿宋" w:cs="Times New Roman"/>
          <w:spacing w:val="-6"/>
          <w:sz w:val="32"/>
          <w:szCs w:val="32"/>
          <w:highlight w:val="none"/>
        </w:rPr>
        <w:t xml:space="preserve"> 处置收入是指在转让、置换、报废等处置国有资产过程中获得的收入</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包括转让资产收入、置换差价收入、拆</w:t>
      </w:r>
    </w:p>
    <w:p w14:paraId="38303AFC">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迁补偿收入、报废报损残值变价收入、保险理赔收入、转让土地使用权收益、所办一级企业的清算收入等。</w:t>
      </w:r>
    </w:p>
    <w:p w14:paraId="2C5AF37C">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第四十条</w:t>
      </w:r>
      <w:r>
        <w:rPr>
          <w:rFonts w:hint="default" w:ascii="Times New Roman" w:hAnsi="Times New Roman" w:eastAsia="仿宋" w:cs="Times New Roman"/>
          <w:spacing w:val="-6"/>
          <w:sz w:val="32"/>
          <w:szCs w:val="32"/>
          <w:highlight w:val="none"/>
        </w:rPr>
        <w:t xml:space="preserve"> 除国家、省、市及区另有规定外，区直行政事业单位国有资产处置收入，应当在扣除相关税金、资产评估费、拍卖佣金等费用后，按照政府非税收入和国库集中收缴管理有关规定及时上缴区级国库，实行</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收支两条线</w:t>
      </w:r>
      <w:r>
        <w:rPr>
          <w:rFonts w:hint="eastAsia"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管理。</w:t>
      </w:r>
    </w:p>
    <w:p w14:paraId="55A9CCF8">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土地使用权转让收益以及占地补偿收益，按照规定上缴区级国库。</w:t>
      </w:r>
    </w:p>
    <w:p w14:paraId="66F2FE98">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除涉及国家秘密、国家安全关键核心技术和重大社会公共利益的科研成果外，区级研究开发机构、区属</w:t>
      </w:r>
      <w:r>
        <w:rPr>
          <w:rFonts w:hint="default" w:ascii="Times New Roman" w:hAnsi="Times New Roman" w:eastAsia="仿宋" w:cs="Times New Roman"/>
          <w:spacing w:val="-6"/>
          <w:sz w:val="32"/>
          <w:szCs w:val="32"/>
          <w:highlight w:val="none"/>
          <w:lang w:eastAsia="zh-CN"/>
        </w:rPr>
        <w:t>学校</w:t>
      </w:r>
      <w:r>
        <w:rPr>
          <w:rFonts w:hint="default" w:ascii="Times New Roman" w:hAnsi="Times New Roman" w:eastAsia="仿宋" w:cs="Times New Roman"/>
          <w:spacing w:val="-6"/>
          <w:sz w:val="32"/>
          <w:szCs w:val="32"/>
          <w:highlight w:val="none"/>
        </w:rPr>
        <w:t>转化科技成果所获得的收入全部留归本单位，纳入单位预算，统一核算、统一管理，主要用于对完成和转化职务科技成果作出重要贡献人员的奖励和报酬、科学技术研发与成果转化等相关工作。</w:t>
      </w:r>
    </w:p>
    <w:p w14:paraId="21A7EDF9">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第四十一条</w:t>
      </w:r>
      <w:r>
        <w:rPr>
          <w:rFonts w:hint="default" w:ascii="Times New Roman" w:hAnsi="Times New Roman" w:eastAsia="仿宋" w:cs="Times New Roman"/>
          <w:spacing w:val="-6"/>
          <w:sz w:val="32"/>
          <w:szCs w:val="32"/>
          <w:highlight w:val="none"/>
        </w:rPr>
        <w:t xml:space="preserve"> 区直事业单位利用国有资产对外投资形成的股权</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权益</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的处置收入，除按照国有资本经营预算有关规定应申报、上交的国有资本收益及国家、省、市及区另有规定外，按照以下规定管理：</w:t>
      </w:r>
    </w:p>
    <w:p w14:paraId="1ACE5706">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（一）</w:t>
      </w:r>
      <w:r>
        <w:rPr>
          <w:rFonts w:hint="default" w:ascii="Times New Roman" w:hAnsi="Times New Roman" w:eastAsia="仿宋" w:cs="Times New Roman"/>
          <w:spacing w:val="-6"/>
          <w:sz w:val="32"/>
          <w:szCs w:val="32"/>
          <w:highlight w:val="none"/>
        </w:rPr>
        <w:t>利用货币资金对外投资形成股权</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权益</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的处置收入纳入单位预算，统一核算，统一管理；</w:t>
      </w:r>
    </w:p>
    <w:p w14:paraId="4EA5FA1A">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lang w:eastAsia="zh-CN"/>
        </w:rPr>
      </w:pPr>
      <w:r>
        <w:rPr>
          <w:rFonts w:hint="default" w:ascii="Times New Roman" w:hAnsi="Times New Roman" w:eastAsia="仿宋" w:cs="Times New Roman"/>
          <w:spacing w:val="-6"/>
          <w:sz w:val="32"/>
          <w:szCs w:val="32"/>
          <w:highlight w:val="none"/>
          <w:lang w:eastAsia="zh-CN"/>
        </w:rPr>
        <w:t>（二）</w:t>
      </w:r>
      <w:r>
        <w:rPr>
          <w:rFonts w:hint="default" w:ascii="Times New Roman" w:hAnsi="Times New Roman" w:eastAsia="仿宋" w:cs="Times New Roman"/>
          <w:spacing w:val="-6"/>
          <w:sz w:val="32"/>
          <w:szCs w:val="32"/>
          <w:highlight w:val="none"/>
        </w:rPr>
        <w:t>区级研究开发机构、区属</w:t>
      </w:r>
      <w:r>
        <w:rPr>
          <w:rFonts w:hint="default" w:ascii="Times New Roman" w:hAnsi="Times New Roman" w:eastAsia="仿宋" w:cs="Times New Roman"/>
          <w:spacing w:val="-6"/>
          <w:sz w:val="32"/>
          <w:szCs w:val="32"/>
          <w:highlight w:val="none"/>
          <w:lang w:eastAsia="zh-CN"/>
        </w:rPr>
        <w:t>学校</w:t>
      </w:r>
      <w:r>
        <w:rPr>
          <w:rFonts w:hint="default" w:ascii="Times New Roman" w:hAnsi="Times New Roman" w:eastAsia="仿宋" w:cs="Times New Roman"/>
          <w:spacing w:val="-6"/>
          <w:sz w:val="32"/>
          <w:szCs w:val="32"/>
          <w:highlight w:val="none"/>
        </w:rPr>
        <w:t>利用科技成果作价投资形成股权</w:t>
      </w:r>
      <w:r>
        <w:rPr>
          <w:rFonts w:hint="default" w:ascii="Times New Roman" w:hAnsi="Times New Roman" w:eastAsia="仿宋" w:cs="Times New Roman"/>
          <w:spacing w:val="-6"/>
          <w:sz w:val="32"/>
          <w:szCs w:val="32"/>
          <w:highlight w:val="none"/>
          <w:lang w:eastAsia="zh-CN"/>
        </w:rPr>
        <w:t>（权益）</w:t>
      </w:r>
      <w:r>
        <w:rPr>
          <w:rFonts w:hint="default" w:ascii="Times New Roman" w:hAnsi="Times New Roman" w:eastAsia="仿宋" w:cs="Times New Roman"/>
          <w:spacing w:val="-6"/>
          <w:sz w:val="32"/>
          <w:szCs w:val="32"/>
          <w:highlight w:val="none"/>
        </w:rPr>
        <w:t>的处置收入纳入单位预算，统一核算，统一管理</w:t>
      </w:r>
      <w:r>
        <w:rPr>
          <w:rFonts w:hint="default" w:ascii="Times New Roman" w:hAnsi="Times New Roman" w:eastAsia="仿宋" w:cs="Times New Roman"/>
          <w:spacing w:val="-6"/>
          <w:sz w:val="32"/>
          <w:szCs w:val="32"/>
          <w:highlight w:val="none"/>
          <w:lang w:eastAsia="zh-CN"/>
        </w:rPr>
        <w:t>；</w:t>
      </w:r>
    </w:p>
    <w:p w14:paraId="66B87F9A">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（三）</w:t>
      </w:r>
      <w:r>
        <w:rPr>
          <w:rFonts w:hint="default" w:ascii="Times New Roman" w:hAnsi="Times New Roman" w:eastAsia="仿宋" w:cs="Times New Roman"/>
          <w:spacing w:val="-6"/>
          <w:sz w:val="32"/>
          <w:szCs w:val="32"/>
          <w:highlight w:val="none"/>
        </w:rPr>
        <w:t>利用其他国有资产对外投资形成的股权</w:t>
      </w:r>
      <w:r>
        <w:rPr>
          <w:rFonts w:hint="default" w:ascii="Times New Roman" w:hAnsi="Times New Roman" w:eastAsia="仿宋" w:cs="Times New Roman"/>
          <w:spacing w:val="-6"/>
          <w:sz w:val="32"/>
          <w:szCs w:val="32"/>
          <w:highlight w:val="none"/>
          <w:lang w:eastAsia="zh-CN"/>
        </w:rPr>
        <w:t>（权益）</w:t>
      </w:r>
      <w:r>
        <w:rPr>
          <w:rFonts w:hint="default" w:ascii="Times New Roman" w:hAnsi="Times New Roman" w:eastAsia="仿宋" w:cs="Times New Roman"/>
          <w:spacing w:val="-6"/>
          <w:sz w:val="32"/>
          <w:szCs w:val="32"/>
          <w:highlight w:val="none"/>
        </w:rPr>
        <w:t>的处置收入，扣除投资收益以及相关税费后，按照政府非税收入和国库集中收缴管理有关规定及时上缴区级国库；投资收益纳入单位预算，统一核算，统一管理；</w:t>
      </w:r>
    </w:p>
    <w:p w14:paraId="5DCAF62C">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（四）</w:t>
      </w:r>
      <w:r>
        <w:rPr>
          <w:rFonts w:hint="default" w:ascii="Times New Roman" w:hAnsi="Times New Roman" w:eastAsia="仿宋" w:cs="Times New Roman"/>
          <w:spacing w:val="-6"/>
          <w:sz w:val="32"/>
          <w:szCs w:val="32"/>
          <w:highlight w:val="none"/>
        </w:rPr>
        <w:t>统筹利用货币资金、科技成果和其他国有资产混合对外投资形成的股权</w:t>
      </w:r>
      <w:r>
        <w:rPr>
          <w:rFonts w:hint="default" w:ascii="Times New Roman" w:hAnsi="Times New Roman" w:eastAsia="仿宋" w:cs="Times New Roman"/>
          <w:spacing w:val="-6"/>
          <w:sz w:val="32"/>
          <w:szCs w:val="32"/>
          <w:highlight w:val="none"/>
          <w:lang w:eastAsia="zh-CN"/>
        </w:rPr>
        <w:t>（权益）</w:t>
      </w:r>
      <w:r>
        <w:rPr>
          <w:rFonts w:hint="default" w:ascii="Times New Roman" w:hAnsi="Times New Roman" w:eastAsia="仿宋" w:cs="Times New Roman"/>
          <w:spacing w:val="-6"/>
          <w:sz w:val="32"/>
          <w:szCs w:val="32"/>
          <w:highlight w:val="none"/>
        </w:rPr>
        <w:t>的处置收入，按照本条第</w:t>
      </w:r>
      <w:r>
        <w:rPr>
          <w:rFonts w:hint="default" w:ascii="Times New Roman" w:hAnsi="Times New Roman" w:eastAsia="仿宋" w:cs="Times New Roman"/>
          <w:spacing w:val="-6"/>
          <w:sz w:val="32"/>
          <w:szCs w:val="32"/>
          <w:highlight w:val="none"/>
          <w:lang w:eastAsia="zh-CN"/>
        </w:rPr>
        <w:t>（一）</w:t>
      </w:r>
      <w:r>
        <w:rPr>
          <w:rFonts w:hint="default" w:ascii="Times New Roman" w:hAnsi="Times New Roman" w:eastAsia="仿宋" w:cs="Times New Roman"/>
          <w:spacing w:val="-6"/>
          <w:sz w:val="32"/>
          <w:szCs w:val="32"/>
          <w:highlight w:val="none"/>
        </w:rPr>
        <w:t>、</w:t>
      </w:r>
      <w:r>
        <w:rPr>
          <w:rFonts w:hint="default" w:ascii="Times New Roman" w:hAnsi="Times New Roman" w:eastAsia="仿宋" w:cs="Times New Roman"/>
          <w:spacing w:val="-6"/>
          <w:sz w:val="32"/>
          <w:szCs w:val="32"/>
          <w:highlight w:val="none"/>
          <w:lang w:eastAsia="zh-CN"/>
        </w:rPr>
        <w:t>（二）</w:t>
      </w:r>
      <w:r>
        <w:rPr>
          <w:rFonts w:hint="default" w:ascii="Times New Roman" w:hAnsi="Times New Roman" w:eastAsia="仿宋" w:cs="Times New Roman"/>
          <w:spacing w:val="-6"/>
          <w:sz w:val="32"/>
          <w:szCs w:val="32"/>
          <w:highlight w:val="none"/>
        </w:rPr>
        <w:t>、</w:t>
      </w:r>
      <w:r>
        <w:rPr>
          <w:rFonts w:hint="default" w:ascii="Times New Roman" w:hAnsi="Times New Roman" w:eastAsia="仿宋" w:cs="Times New Roman"/>
          <w:spacing w:val="-6"/>
          <w:sz w:val="32"/>
          <w:szCs w:val="32"/>
          <w:highlight w:val="none"/>
          <w:lang w:eastAsia="zh-CN"/>
        </w:rPr>
        <w:t>（三）</w:t>
      </w:r>
      <w:r>
        <w:rPr>
          <w:rFonts w:hint="default" w:ascii="Times New Roman" w:hAnsi="Times New Roman" w:eastAsia="仿宋" w:cs="Times New Roman"/>
          <w:spacing w:val="-6"/>
          <w:sz w:val="32"/>
          <w:szCs w:val="32"/>
          <w:highlight w:val="none"/>
        </w:rPr>
        <w:t>项的有关规定分别管理。</w:t>
      </w:r>
    </w:p>
    <w:p w14:paraId="3CA2825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spacing w:val="-6"/>
          <w:sz w:val="32"/>
          <w:szCs w:val="32"/>
          <w:highlight w:val="none"/>
        </w:rPr>
      </w:pPr>
    </w:p>
    <w:p w14:paraId="2C4273A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第五章</w:t>
      </w:r>
      <w:r>
        <w:rPr>
          <w:rFonts w:hint="default" w:ascii="Times New Roman" w:hAnsi="Times New Roman" w:eastAsia="黑体" w:cs="Times New Roman"/>
          <w:spacing w:val="-6"/>
          <w:sz w:val="32"/>
          <w:szCs w:val="32"/>
          <w:highlight w:val="none"/>
          <w:lang w:val="en-US" w:eastAsia="zh-CN"/>
        </w:rPr>
        <w:t xml:space="preserve"> </w:t>
      </w:r>
      <w:r>
        <w:rPr>
          <w:rFonts w:hint="default" w:ascii="Times New Roman" w:hAnsi="Times New Roman" w:eastAsia="黑体" w:cs="Times New Roman"/>
          <w:spacing w:val="-6"/>
          <w:sz w:val="32"/>
          <w:szCs w:val="32"/>
          <w:highlight w:val="none"/>
        </w:rPr>
        <w:t>监督检查</w:t>
      </w:r>
    </w:p>
    <w:p w14:paraId="49DB3FE2">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第四十二条</w:t>
      </w:r>
      <w:r>
        <w:rPr>
          <w:rFonts w:hint="default" w:ascii="Times New Roman" w:hAnsi="Times New Roman" w:eastAsia="仿宋" w:cs="Times New Roman"/>
          <w:spacing w:val="-6"/>
          <w:sz w:val="32"/>
          <w:szCs w:val="32"/>
          <w:highlight w:val="none"/>
        </w:rPr>
        <w:t xml:space="preserve"> 区直行政事业单位国有资产处置应当接受财政、审计、纪检、监察、人大、机关事务管理部门和社会监督，确保国有资产处置依法有序。</w:t>
      </w:r>
    </w:p>
    <w:p w14:paraId="0DAFC05E">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第四十三条</w:t>
      </w:r>
      <w:r>
        <w:rPr>
          <w:rFonts w:hint="default" w:ascii="Times New Roman" w:hAnsi="Times New Roman" w:eastAsia="仿宋" w:cs="Times New Roman"/>
          <w:spacing w:val="-6"/>
          <w:sz w:val="32"/>
          <w:szCs w:val="32"/>
          <w:highlight w:val="none"/>
        </w:rPr>
        <w:t xml:space="preserve"> 区直行政事业单位国有资产处置应当坚持单位内部监督。主管部门应当建立国有资产处置管理制度，定期或者不定期对所属行政事业单位国有资产处置情况进行监督检查。</w:t>
      </w:r>
    </w:p>
    <w:p w14:paraId="7EA5A6C4">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第四十四条</w:t>
      </w:r>
      <w:r>
        <w:rPr>
          <w:rFonts w:hint="default" w:ascii="Times New Roman" w:hAnsi="Times New Roman" w:eastAsia="仿宋" w:cs="Times New Roman"/>
          <w:spacing w:val="-6"/>
          <w:sz w:val="32"/>
          <w:szCs w:val="32"/>
          <w:highlight w:val="none"/>
        </w:rPr>
        <w:t xml:space="preserve"> 区财政局、区机关事务管理局、主管部门、区直行政事业单位及其工作人员在国有资产处置管理工作中，存在违反本办法规定的行为，以及其他滥用职权、玩忽职守、徇私舞弊等违法违纪行为的，依照《中华人民共和国公务员法》《中华人民共和国监察法》《行政事业性国有资产管理条例》等国家有关规定追究责任；构成犯罪的，依法追究刑事责任。</w:t>
      </w:r>
      <w:bookmarkStart w:id="0" w:name="_GoBack"/>
      <w:bookmarkEnd w:id="0"/>
    </w:p>
    <w:p w14:paraId="00458D8D">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第四十五条</w:t>
      </w:r>
      <w:r>
        <w:rPr>
          <w:rFonts w:hint="default" w:ascii="Times New Roman" w:hAnsi="Times New Roman" w:eastAsia="仿宋" w:cs="Times New Roman"/>
          <w:spacing w:val="-6"/>
          <w:sz w:val="32"/>
          <w:szCs w:val="32"/>
          <w:highlight w:val="none"/>
        </w:rPr>
        <w:t xml:space="preserve"> 主管部门及其所属行政事业单位在国有资产处置过程中有下列情形之一的，依纪依法追究相关人员责任：</w:t>
      </w:r>
    </w:p>
    <w:p w14:paraId="09779AF8">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（一）</w:t>
      </w:r>
      <w:r>
        <w:rPr>
          <w:rFonts w:hint="default" w:ascii="Times New Roman" w:hAnsi="Times New Roman" w:eastAsia="仿宋" w:cs="Times New Roman"/>
          <w:spacing w:val="-6"/>
          <w:sz w:val="32"/>
          <w:szCs w:val="32"/>
          <w:highlight w:val="none"/>
        </w:rPr>
        <w:t>未按照规定经集体决策或者履行审批程序，擅自越权对规定限额以上的国有资产进行处置；</w:t>
      </w:r>
    </w:p>
    <w:p w14:paraId="40FF2CB9">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（二）</w:t>
      </w:r>
      <w:r>
        <w:rPr>
          <w:rFonts w:hint="default" w:ascii="Times New Roman" w:hAnsi="Times New Roman" w:eastAsia="仿宋" w:cs="Times New Roman"/>
          <w:spacing w:val="-6"/>
          <w:sz w:val="32"/>
          <w:szCs w:val="32"/>
          <w:highlight w:val="none"/>
        </w:rPr>
        <w:t>未按照规定办理国有资产处置手续，对不符合规定的申报处置材料予以审批；</w:t>
      </w:r>
    </w:p>
    <w:p w14:paraId="33C2E398">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（三）</w:t>
      </w:r>
      <w:r>
        <w:rPr>
          <w:rFonts w:hint="default" w:ascii="Times New Roman" w:hAnsi="Times New Roman" w:eastAsia="仿宋" w:cs="Times New Roman"/>
          <w:spacing w:val="-6"/>
          <w:sz w:val="32"/>
          <w:szCs w:val="32"/>
          <w:highlight w:val="none"/>
        </w:rPr>
        <w:t>采用弄虚作假等方式低价处置国有资产；</w:t>
      </w:r>
    </w:p>
    <w:p w14:paraId="11D8F930">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（四）</w:t>
      </w:r>
      <w:r>
        <w:rPr>
          <w:rFonts w:hint="default" w:ascii="Times New Roman" w:hAnsi="Times New Roman" w:eastAsia="仿宋" w:cs="Times New Roman"/>
          <w:spacing w:val="-6"/>
          <w:sz w:val="32"/>
          <w:szCs w:val="32"/>
          <w:highlight w:val="none"/>
        </w:rPr>
        <w:t>截留国有资产处置收入；</w:t>
      </w:r>
    </w:p>
    <w:p w14:paraId="6439F192">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（五）</w:t>
      </w:r>
      <w:r>
        <w:rPr>
          <w:rFonts w:hint="default" w:ascii="Times New Roman" w:hAnsi="Times New Roman" w:eastAsia="仿宋" w:cs="Times New Roman"/>
          <w:spacing w:val="-6"/>
          <w:sz w:val="32"/>
          <w:szCs w:val="32"/>
          <w:highlight w:val="none"/>
        </w:rPr>
        <w:t>未按照规定评估国有资产导致国家利益损失；</w:t>
      </w:r>
    </w:p>
    <w:p w14:paraId="03EA85A7">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eastAsia="zh-CN"/>
        </w:rPr>
        <w:t>（六）</w:t>
      </w:r>
      <w:r>
        <w:rPr>
          <w:rFonts w:hint="default" w:ascii="Times New Roman" w:hAnsi="Times New Roman" w:eastAsia="仿宋" w:cs="Times New Roman"/>
          <w:spacing w:val="-6"/>
          <w:sz w:val="32"/>
          <w:szCs w:val="32"/>
          <w:highlight w:val="none"/>
        </w:rPr>
        <w:t>其他造成单位国有资产损失的行为。</w:t>
      </w:r>
    </w:p>
    <w:p w14:paraId="69A2A9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z w:val="32"/>
          <w:szCs w:val="32"/>
          <w:highlight w:val="none"/>
          <w:lang w:eastAsia="zh-CN"/>
        </w:rPr>
        <w:t>第四十六条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 w:cs="Times New Roman"/>
          <w:spacing w:val="-6"/>
          <w:sz w:val="32"/>
          <w:szCs w:val="32"/>
          <w:highlight w:val="none"/>
        </w:rPr>
        <w:t>未按照本办法规定及时办理</w:t>
      </w:r>
      <w:r>
        <w:rPr>
          <w:rFonts w:hint="default" w:ascii="Times New Roman" w:hAnsi="Times New Roman" w:eastAsia="仿宋" w:cs="Times New Roman"/>
          <w:spacing w:val="-6"/>
          <w:sz w:val="32"/>
          <w:szCs w:val="32"/>
          <w:highlight w:val="none"/>
          <w:lang w:eastAsia="zh-CN"/>
        </w:rPr>
        <w:t>国有资产处置</w:t>
      </w:r>
      <w:r>
        <w:rPr>
          <w:rFonts w:hint="default" w:ascii="Times New Roman" w:hAnsi="Times New Roman" w:eastAsia="仿宋" w:cs="Times New Roman"/>
          <w:spacing w:val="-6"/>
          <w:sz w:val="32"/>
          <w:szCs w:val="32"/>
          <w:highlight w:val="none"/>
        </w:rPr>
        <w:t>相关情况报告、</w:t>
      </w:r>
      <w:r>
        <w:rPr>
          <w:rFonts w:hint="default" w:ascii="Times New Roman" w:hAnsi="Times New Roman" w:eastAsia="仿宋" w:cs="Times New Roman"/>
          <w:spacing w:val="-6"/>
          <w:sz w:val="32"/>
          <w:szCs w:val="32"/>
          <w:highlight w:val="none"/>
          <w:lang w:eastAsia="zh-CN"/>
        </w:rPr>
        <w:t>报备</w:t>
      </w:r>
      <w:r>
        <w:rPr>
          <w:rFonts w:hint="default" w:ascii="Times New Roman" w:hAnsi="Times New Roman" w:eastAsia="仿宋" w:cs="Times New Roman"/>
          <w:spacing w:val="-6"/>
          <w:sz w:val="32"/>
          <w:szCs w:val="32"/>
          <w:highlight w:val="none"/>
        </w:rPr>
        <w:t>等事项的，区</w:t>
      </w:r>
      <w:r>
        <w:rPr>
          <w:rFonts w:hint="default" w:ascii="Times New Roman" w:hAnsi="Times New Roman" w:eastAsia="仿宋" w:cs="Times New Roman"/>
          <w:spacing w:val="-6"/>
          <w:sz w:val="32"/>
          <w:szCs w:val="32"/>
          <w:highlight w:val="none"/>
          <w:lang w:eastAsia="zh-CN"/>
        </w:rPr>
        <w:t>机关事务管理局、区</w:t>
      </w:r>
      <w:r>
        <w:rPr>
          <w:rFonts w:hint="default" w:ascii="Times New Roman" w:hAnsi="Times New Roman" w:eastAsia="仿宋" w:cs="Times New Roman"/>
          <w:spacing w:val="-6"/>
          <w:sz w:val="32"/>
          <w:szCs w:val="32"/>
          <w:highlight w:val="none"/>
        </w:rPr>
        <w:t>财政局将不定期进行情况通报。情节严重，或拒不整改的，移交相关部门追究单位</w:t>
      </w:r>
      <w:r>
        <w:rPr>
          <w:rFonts w:hint="default" w:ascii="Times New Roman" w:hAnsi="Times New Roman" w:eastAsia="仿宋" w:cs="Times New Roman"/>
          <w:spacing w:val="-6"/>
          <w:sz w:val="32"/>
          <w:szCs w:val="32"/>
          <w:highlight w:val="none"/>
          <w:lang w:eastAsia="zh-CN"/>
        </w:rPr>
        <w:t>相关人员</w:t>
      </w:r>
      <w:r>
        <w:rPr>
          <w:rFonts w:hint="default" w:ascii="Times New Roman" w:hAnsi="Times New Roman" w:eastAsia="仿宋" w:cs="Times New Roman"/>
          <w:spacing w:val="-6"/>
          <w:sz w:val="32"/>
          <w:szCs w:val="32"/>
          <w:highlight w:val="none"/>
        </w:rPr>
        <w:t>的党纪、行政责任。</w:t>
      </w:r>
    </w:p>
    <w:p w14:paraId="5D1184E6">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Times New Roman"/>
          <w:spacing w:val="-6"/>
          <w:sz w:val="32"/>
          <w:szCs w:val="32"/>
          <w:highlight w:val="none"/>
        </w:rPr>
      </w:pPr>
    </w:p>
    <w:p w14:paraId="7916CDD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pacing w:val="-6"/>
          <w:sz w:val="32"/>
          <w:szCs w:val="32"/>
          <w:highlight w:val="none"/>
        </w:rPr>
      </w:pPr>
      <w:r>
        <w:rPr>
          <w:rFonts w:hint="default" w:ascii="Times New Roman" w:hAnsi="Times New Roman" w:eastAsia="黑体" w:cs="Times New Roman"/>
          <w:spacing w:val="-6"/>
          <w:sz w:val="32"/>
          <w:szCs w:val="32"/>
          <w:highlight w:val="none"/>
        </w:rPr>
        <w:t>第六章 附 则</w:t>
      </w:r>
    </w:p>
    <w:p w14:paraId="0C7A94B2">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第四十</w:t>
      </w:r>
      <w:r>
        <w:rPr>
          <w:rFonts w:hint="default" w:ascii="Times New Roman" w:hAnsi="Times New Roman" w:eastAsia="黑体" w:cs="Times New Roman"/>
          <w:spacing w:val="-6"/>
          <w:sz w:val="32"/>
          <w:szCs w:val="32"/>
          <w:highlight w:val="none"/>
          <w:lang w:eastAsia="zh-CN"/>
        </w:rPr>
        <w:t>七</w:t>
      </w:r>
      <w:r>
        <w:rPr>
          <w:rFonts w:hint="default" w:ascii="Times New Roman" w:hAnsi="Times New Roman" w:eastAsia="黑体" w:cs="Times New Roman"/>
          <w:spacing w:val="-6"/>
          <w:sz w:val="32"/>
          <w:szCs w:val="32"/>
          <w:highlight w:val="none"/>
        </w:rPr>
        <w:t>条</w:t>
      </w:r>
      <w:r>
        <w:rPr>
          <w:rFonts w:hint="default" w:ascii="Times New Roman" w:hAnsi="Times New Roman" w:eastAsia="仿宋" w:cs="Times New Roman"/>
          <w:spacing w:val="-6"/>
          <w:sz w:val="32"/>
          <w:szCs w:val="32"/>
          <w:highlight w:val="none"/>
        </w:rPr>
        <w:t xml:space="preserve"> 区直行政事业单位货币形式的国有资产处置，按照预算管理有关规定执行。</w:t>
      </w:r>
    </w:p>
    <w:p w14:paraId="4E98810B">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第四十</w:t>
      </w:r>
      <w:r>
        <w:rPr>
          <w:rFonts w:hint="default" w:ascii="Times New Roman" w:hAnsi="Times New Roman" w:eastAsia="黑体" w:cs="Times New Roman"/>
          <w:spacing w:val="-6"/>
          <w:sz w:val="32"/>
          <w:szCs w:val="32"/>
          <w:highlight w:val="none"/>
          <w:lang w:eastAsia="zh-CN"/>
        </w:rPr>
        <w:t>八</w:t>
      </w:r>
      <w:r>
        <w:rPr>
          <w:rFonts w:hint="default" w:ascii="Times New Roman" w:hAnsi="Times New Roman" w:eastAsia="黑体" w:cs="Times New Roman"/>
          <w:spacing w:val="-6"/>
          <w:sz w:val="32"/>
          <w:szCs w:val="32"/>
          <w:highlight w:val="none"/>
        </w:rPr>
        <w:t>条</w:t>
      </w:r>
      <w:r>
        <w:rPr>
          <w:rFonts w:hint="default" w:ascii="Times New Roman" w:hAnsi="Times New Roman" w:eastAsia="仿宋" w:cs="Times New Roman"/>
          <w:spacing w:val="-6"/>
          <w:sz w:val="32"/>
          <w:szCs w:val="32"/>
          <w:highlight w:val="none"/>
        </w:rPr>
        <w:t xml:space="preserve"> 区直行政事业单位涉及国家安全和秘密的国有资产处置，应当符合国家、省、市及区有关保密制度的规定和要求。</w:t>
      </w:r>
    </w:p>
    <w:p w14:paraId="468E0A32">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第四十</w:t>
      </w:r>
      <w:r>
        <w:rPr>
          <w:rFonts w:hint="default" w:ascii="Times New Roman" w:hAnsi="Times New Roman" w:eastAsia="黑体" w:cs="Times New Roman"/>
          <w:spacing w:val="-6"/>
          <w:sz w:val="32"/>
          <w:szCs w:val="32"/>
          <w:highlight w:val="none"/>
          <w:lang w:eastAsia="zh-CN"/>
        </w:rPr>
        <w:t>九</w:t>
      </w:r>
      <w:r>
        <w:rPr>
          <w:rFonts w:hint="default" w:ascii="Times New Roman" w:hAnsi="Times New Roman" w:eastAsia="黑体" w:cs="Times New Roman"/>
          <w:spacing w:val="-6"/>
          <w:sz w:val="32"/>
          <w:szCs w:val="32"/>
          <w:highlight w:val="none"/>
        </w:rPr>
        <w:t>条</w:t>
      </w:r>
      <w:r>
        <w:rPr>
          <w:rFonts w:hint="default" w:ascii="Times New Roman" w:hAnsi="Times New Roman" w:eastAsia="仿宋" w:cs="Times New Roman"/>
          <w:spacing w:val="-6"/>
          <w:sz w:val="32"/>
          <w:szCs w:val="32"/>
          <w:highlight w:val="none"/>
        </w:rPr>
        <w:t xml:space="preserve"> 执行企业财务和会计制度的区直事业单位，其国有资产处置事项按照企业国有资产监督管理的有关规定执行，不适用本办法。</w:t>
      </w:r>
    </w:p>
    <w:p w14:paraId="33B17C3B">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执行《民间非营利组织会计制度》的区级社会团体及民办非企业单位国有资产处置事项，参照本办法执行。</w:t>
      </w:r>
    </w:p>
    <w:p w14:paraId="710D5F26">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w:t>
      </w:r>
      <w:r>
        <w:rPr>
          <w:rFonts w:hint="default" w:ascii="Times New Roman" w:hAnsi="Times New Roman" w:eastAsia="黑体" w:cs="Times New Roman"/>
          <w:spacing w:val="-6"/>
          <w:sz w:val="32"/>
          <w:szCs w:val="32"/>
          <w:highlight w:val="none"/>
          <w:lang w:eastAsia="zh-CN"/>
        </w:rPr>
        <w:t>五十</w:t>
      </w:r>
      <w:r>
        <w:rPr>
          <w:rFonts w:hint="default" w:ascii="Times New Roman" w:hAnsi="Times New Roman" w:eastAsia="黑体" w:cs="Times New Roman"/>
          <w:spacing w:val="-6"/>
          <w:sz w:val="32"/>
          <w:szCs w:val="32"/>
          <w:highlight w:val="none"/>
        </w:rPr>
        <w:t>条</w:t>
      </w:r>
      <w:r>
        <w:rPr>
          <w:rFonts w:hint="default" w:ascii="Times New Roman" w:hAnsi="Times New Roman" w:eastAsia="仿宋" w:cs="Times New Roman"/>
          <w:spacing w:val="-6"/>
          <w:sz w:val="32"/>
          <w:szCs w:val="32"/>
          <w:highlight w:val="none"/>
        </w:rPr>
        <w:t xml:space="preserve"> 主管部门应当根据本办法，结合实际情况制定具体办法，报区机关事务管理局、区财政局备案。主管部门可以授权所属行政事业单位一定限额的国有资产处置权限。</w:t>
      </w:r>
    </w:p>
    <w:p w14:paraId="2CA9E79B">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11"/>
          <w:sz w:val="32"/>
          <w:szCs w:val="32"/>
          <w:highlight w:val="none"/>
        </w:rPr>
      </w:pPr>
      <w:r>
        <w:rPr>
          <w:rFonts w:hint="default" w:ascii="Times New Roman" w:hAnsi="Times New Roman" w:eastAsia="黑体" w:cs="Times New Roman"/>
          <w:spacing w:val="-6"/>
          <w:sz w:val="32"/>
          <w:szCs w:val="32"/>
          <w:highlight w:val="none"/>
        </w:rPr>
        <w:t>第五十</w:t>
      </w:r>
      <w:r>
        <w:rPr>
          <w:rFonts w:hint="default" w:ascii="Times New Roman" w:hAnsi="Times New Roman" w:eastAsia="黑体" w:cs="Times New Roman"/>
          <w:spacing w:val="-6"/>
          <w:sz w:val="32"/>
          <w:szCs w:val="32"/>
          <w:highlight w:val="none"/>
          <w:lang w:eastAsia="zh-CN"/>
        </w:rPr>
        <w:t>一</w:t>
      </w:r>
      <w:r>
        <w:rPr>
          <w:rFonts w:hint="default" w:ascii="Times New Roman" w:hAnsi="Times New Roman" w:eastAsia="黑体" w:cs="Times New Roman"/>
          <w:spacing w:val="-6"/>
          <w:sz w:val="32"/>
          <w:szCs w:val="32"/>
          <w:highlight w:val="none"/>
        </w:rPr>
        <w:t>条</w:t>
      </w:r>
      <w:r>
        <w:rPr>
          <w:rFonts w:hint="default" w:ascii="Times New Roman" w:hAnsi="Times New Roman" w:eastAsia="仿宋" w:cs="Times New Roman"/>
          <w:spacing w:val="-6"/>
          <w:sz w:val="32"/>
          <w:szCs w:val="32"/>
          <w:highlight w:val="none"/>
        </w:rPr>
        <w:t xml:space="preserve"> </w:t>
      </w:r>
      <w:r>
        <w:rPr>
          <w:rFonts w:hint="default" w:ascii="Times New Roman" w:hAnsi="Times New Roman" w:eastAsia="仿宋" w:cs="Times New Roman"/>
          <w:spacing w:val="-11"/>
          <w:sz w:val="32"/>
          <w:szCs w:val="32"/>
          <w:highlight w:val="none"/>
        </w:rPr>
        <w:t>本办法由区机关事务管理局、区财政局负责解释。</w:t>
      </w:r>
    </w:p>
    <w:p w14:paraId="74566496">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黑体" w:cs="Times New Roman"/>
          <w:spacing w:val="-6"/>
          <w:sz w:val="32"/>
          <w:szCs w:val="32"/>
          <w:highlight w:val="none"/>
        </w:rPr>
        <w:t>第五十</w:t>
      </w:r>
      <w:r>
        <w:rPr>
          <w:rFonts w:hint="default" w:ascii="Times New Roman" w:hAnsi="Times New Roman" w:eastAsia="黑体" w:cs="Times New Roman"/>
          <w:spacing w:val="-6"/>
          <w:sz w:val="32"/>
          <w:szCs w:val="32"/>
          <w:highlight w:val="none"/>
          <w:lang w:eastAsia="zh-CN"/>
        </w:rPr>
        <w:t>二</w:t>
      </w:r>
      <w:r>
        <w:rPr>
          <w:rFonts w:hint="default" w:ascii="Times New Roman" w:hAnsi="Times New Roman" w:eastAsia="黑体" w:cs="Times New Roman"/>
          <w:spacing w:val="-6"/>
          <w:sz w:val="32"/>
          <w:szCs w:val="32"/>
          <w:highlight w:val="none"/>
        </w:rPr>
        <w:t>条</w:t>
      </w:r>
      <w:r>
        <w:rPr>
          <w:rFonts w:hint="default" w:ascii="Times New Roman" w:hAnsi="Times New Roman" w:eastAsia="仿宋" w:cs="Times New Roman"/>
          <w:spacing w:val="-6"/>
          <w:sz w:val="32"/>
          <w:szCs w:val="32"/>
          <w:highlight w:val="none"/>
        </w:rPr>
        <w:t xml:space="preserve"> 本办法自印发之日起执行。《霞山区区直行政事业单位国有资产处置管理暂行办法</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2022年修订</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湛霞财〔2022〕91号</w:t>
      </w:r>
      <w:r>
        <w:rPr>
          <w:rFonts w:hint="default" w:ascii="Times New Roman" w:hAnsi="Times New Roman" w:eastAsia="仿宋" w:cs="Times New Roman"/>
          <w:spacing w:val="-6"/>
          <w:sz w:val="32"/>
          <w:szCs w:val="32"/>
          <w:highlight w:val="none"/>
          <w:lang w:eastAsia="zh-CN"/>
        </w:rPr>
        <w:t>）</w:t>
      </w:r>
      <w:r>
        <w:rPr>
          <w:rFonts w:hint="default" w:ascii="Times New Roman" w:hAnsi="Times New Roman" w:eastAsia="仿宋" w:cs="Times New Roman"/>
          <w:spacing w:val="-6"/>
          <w:sz w:val="32"/>
          <w:szCs w:val="32"/>
          <w:highlight w:val="none"/>
        </w:rPr>
        <w:t>同时废止。</w:t>
      </w:r>
    </w:p>
    <w:p w14:paraId="7270BADF">
      <w:pPr>
        <w:keepNext w:val="0"/>
        <w:keepLines w:val="0"/>
        <w:pageBreakBefore w:val="0"/>
        <w:widowControl w:val="0"/>
        <w:kinsoku/>
        <w:wordWrap/>
        <w:overflowPunct/>
        <w:topLinePunct w:val="0"/>
        <w:autoSpaceDE/>
        <w:autoSpaceDN/>
        <w:bidi w:val="0"/>
        <w:adjustRightInd/>
        <w:snapToGrid/>
        <w:ind w:firstLine="616" w:firstLineChars="200"/>
        <w:textAlignment w:val="auto"/>
        <w:rPr>
          <w:rFonts w:hint="default" w:ascii="Times New Roman" w:hAnsi="Times New Roman" w:eastAsia="仿宋" w:cs="Times New Roman"/>
          <w:spacing w:val="-6"/>
          <w:sz w:val="32"/>
          <w:szCs w:val="32"/>
          <w:highlight w:val="none"/>
        </w:rPr>
      </w:pPr>
    </w:p>
    <w:p w14:paraId="53727724">
      <w:pPr>
        <w:keepNext w:val="0"/>
        <w:keepLines w:val="0"/>
        <w:pageBreakBefore w:val="0"/>
        <w:widowControl w:val="0"/>
        <w:kinsoku/>
        <w:wordWrap/>
        <w:overflowPunct/>
        <w:topLinePunct w:val="0"/>
        <w:autoSpaceDE/>
        <w:autoSpaceDN/>
        <w:bidi w:val="0"/>
        <w:adjustRightInd/>
        <w:snapToGrid/>
        <w:ind w:left="1763" w:leftChars="253" w:hanging="1232" w:hangingChars="4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rPr>
        <w:t>附件：1</w:t>
      </w:r>
      <w:r>
        <w:rPr>
          <w:rFonts w:hint="default" w:ascii="Times New Roman" w:hAnsi="Times New Roman" w:eastAsia="仿宋" w:cs="Times New Roman"/>
          <w:spacing w:val="-6"/>
          <w:sz w:val="32"/>
          <w:szCs w:val="32"/>
          <w:highlight w:val="none"/>
          <w:lang w:val="en-US" w:eastAsia="zh-CN"/>
        </w:rPr>
        <w:t>.</w:t>
      </w:r>
      <w:r>
        <w:rPr>
          <w:rFonts w:hint="default" w:ascii="Times New Roman" w:hAnsi="Times New Roman" w:eastAsia="仿宋" w:cs="Times New Roman"/>
          <w:spacing w:val="-6"/>
          <w:sz w:val="32"/>
          <w:szCs w:val="32"/>
          <w:highlight w:val="none"/>
        </w:rPr>
        <w:t>区直行政事业单位国有资产无偿划转和对外捐赠申请表</w:t>
      </w:r>
    </w:p>
    <w:p w14:paraId="18D8D910">
      <w:pPr>
        <w:keepNext w:val="0"/>
        <w:keepLines w:val="0"/>
        <w:pageBreakBefore w:val="0"/>
        <w:widowControl w:val="0"/>
        <w:numPr>
          <w:ilvl w:val="0"/>
          <w:numId w:val="0"/>
        </w:numPr>
        <w:kinsoku/>
        <w:wordWrap/>
        <w:overflowPunct/>
        <w:topLinePunct w:val="0"/>
        <w:autoSpaceDE/>
        <w:autoSpaceDN/>
        <w:bidi w:val="0"/>
        <w:adjustRightInd/>
        <w:snapToGrid/>
        <w:ind w:left="1134" w:leftChars="0" w:firstLine="308" w:firstLineChars="1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val="en-US" w:eastAsia="zh-CN"/>
        </w:rPr>
        <w:t>2.</w:t>
      </w:r>
      <w:r>
        <w:rPr>
          <w:rFonts w:hint="default" w:ascii="Times New Roman" w:hAnsi="Times New Roman" w:eastAsia="仿宋" w:cs="Times New Roman"/>
          <w:spacing w:val="-6"/>
          <w:sz w:val="32"/>
          <w:szCs w:val="32"/>
          <w:highlight w:val="none"/>
        </w:rPr>
        <w:t>区直行政事业单位国有资产转让等申请表</w:t>
      </w:r>
    </w:p>
    <w:p w14:paraId="5627D700">
      <w:pPr>
        <w:keepNext w:val="0"/>
        <w:keepLines w:val="0"/>
        <w:pageBreakBefore w:val="0"/>
        <w:widowControl w:val="0"/>
        <w:numPr>
          <w:ilvl w:val="0"/>
          <w:numId w:val="0"/>
        </w:numPr>
        <w:kinsoku/>
        <w:wordWrap/>
        <w:overflowPunct/>
        <w:topLinePunct w:val="0"/>
        <w:autoSpaceDE/>
        <w:autoSpaceDN/>
        <w:bidi w:val="0"/>
        <w:adjustRightInd/>
        <w:snapToGrid/>
        <w:ind w:left="1134" w:leftChars="0" w:firstLine="308" w:firstLineChars="100"/>
        <w:textAlignment w:val="auto"/>
        <w:rPr>
          <w:rFonts w:hint="default" w:ascii="Times New Roman" w:hAnsi="Times New Roman" w:eastAsia="仿宋" w:cs="Times New Roman"/>
          <w:spacing w:val="-6"/>
          <w:sz w:val="32"/>
          <w:szCs w:val="32"/>
          <w:highlight w:val="none"/>
          <w:lang w:val="en-US" w:eastAsia="zh-CN"/>
        </w:rPr>
      </w:pPr>
      <w:r>
        <w:rPr>
          <w:rFonts w:hint="default" w:ascii="Times New Roman" w:hAnsi="Times New Roman" w:eastAsia="仿宋" w:cs="Times New Roman"/>
          <w:spacing w:val="-6"/>
          <w:sz w:val="32"/>
          <w:szCs w:val="32"/>
          <w:highlight w:val="none"/>
          <w:lang w:val="en-US" w:eastAsia="zh-CN"/>
        </w:rPr>
        <w:t>3.向区机关事务管理局/区财政局报备的资料清单</w:t>
      </w:r>
    </w:p>
    <w:p w14:paraId="7EA21089">
      <w:pPr>
        <w:keepNext w:val="0"/>
        <w:keepLines w:val="0"/>
        <w:pageBreakBefore w:val="0"/>
        <w:widowControl w:val="0"/>
        <w:numPr>
          <w:ilvl w:val="0"/>
          <w:numId w:val="0"/>
        </w:numPr>
        <w:kinsoku/>
        <w:wordWrap/>
        <w:overflowPunct/>
        <w:topLinePunct w:val="0"/>
        <w:autoSpaceDE/>
        <w:autoSpaceDN/>
        <w:bidi w:val="0"/>
        <w:adjustRightInd/>
        <w:snapToGrid/>
        <w:ind w:left="1134" w:leftChars="0" w:firstLine="308" w:firstLineChars="100"/>
        <w:textAlignment w:val="auto"/>
        <w:rPr>
          <w:rFonts w:hint="default" w:ascii="Times New Roman" w:hAnsi="Times New Roman" w:eastAsia="仿宋" w:cs="Times New Roman"/>
          <w:spacing w:val="-6"/>
          <w:sz w:val="32"/>
          <w:szCs w:val="32"/>
          <w:highlight w:val="none"/>
          <w:lang w:val="en-US" w:eastAsia="zh-CN"/>
        </w:rPr>
      </w:pPr>
      <w:r>
        <w:rPr>
          <w:rFonts w:hint="default" w:ascii="Times New Roman" w:hAnsi="Times New Roman" w:eastAsia="仿宋" w:cs="Times New Roman"/>
          <w:spacing w:val="-6"/>
          <w:sz w:val="32"/>
          <w:szCs w:val="32"/>
          <w:highlight w:val="none"/>
          <w:lang w:val="en-US" w:eastAsia="zh-CN"/>
        </w:rPr>
        <w:t>4.行政事业单位国有资产无偿划转确认书</w:t>
      </w:r>
    </w:p>
    <w:p w14:paraId="75354186">
      <w:pPr>
        <w:keepNext w:val="0"/>
        <w:keepLines w:val="0"/>
        <w:pageBreakBefore w:val="0"/>
        <w:widowControl w:val="0"/>
        <w:numPr>
          <w:ilvl w:val="0"/>
          <w:numId w:val="0"/>
        </w:numPr>
        <w:kinsoku/>
        <w:wordWrap/>
        <w:overflowPunct/>
        <w:topLinePunct w:val="0"/>
        <w:autoSpaceDE/>
        <w:autoSpaceDN/>
        <w:bidi w:val="0"/>
        <w:adjustRightInd/>
        <w:snapToGrid/>
        <w:ind w:left="1134" w:leftChars="0" w:firstLine="308" w:firstLineChars="100"/>
        <w:textAlignment w:val="auto"/>
        <w:rPr>
          <w:rFonts w:hint="default" w:ascii="Times New Roman" w:hAnsi="Times New Roman" w:eastAsia="仿宋" w:cs="Times New Roman"/>
          <w:spacing w:val="-6"/>
          <w:sz w:val="32"/>
          <w:szCs w:val="32"/>
          <w:highlight w:val="none"/>
          <w:lang w:val="en-US" w:eastAsia="zh-CN"/>
        </w:rPr>
      </w:pPr>
      <w:r>
        <w:rPr>
          <w:rFonts w:hint="default" w:ascii="Times New Roman" w:hAnsi="Times New Roman" w:eastAsia="仿宋" w:cs="Times New Roman"/>
          <w:spacing w:val="-6"/>
          <w:sz w:val="32"/>
          <w:szCs w:val="32"/>
          <w:highlight w:val="none"/>
          <w:lang w:val="en-US" w:eastAsia="zh-CN"/>
        </w:rPr>
        <w:t>5.行政事业单位国有资产无偿划转明细表</w:t>
      </w:r>
    </w:p>
    <w:p w14:paraId="284DFF0A">
      <w:pPr>
        <w:keepNext w:val="0"/>
        <w:keepLines w:val="0"/>
        <w:pageBreakBefore w:val="0"/>
        <w:widowControl w:val="0"/>
        <w:numPr>
          <w:ilvl w:val="0"/>
          <w:numId w:val="0"/>
        </w:numPr>
        <w:kinsoku/>
        <w:wordWrap/>
        <w:overflowPunct/>
        <w:topLinePunct w:val="0"/>
        <w:autoSpaceDE/>
        <w:autoSpaceDN/>
        <w:bidi w:val="0"/>
        <w:adjustRightInd/>
        <w:snapToGrid/>
        <w:ind w:left="1134" w:firstLine="308" w:firstLineChars="100"/>
        <w:textAlignment w:val="auto"/>
        <w:rPr>
          <w:rFonts w:hint="default" w:ascii="Times New Roman" w:hAnsi="Times New Roman" w:eastAsia="仿宋" w:cs="Times New Roman"/>
          <w:spacing w:val="-6"/>
          <w:sz w:val="32"/>
          <w:szCs w:val="32"/>
          <w:highlight w:val="none"/>
        </w:rPr>
      </w:pPr>
      <w:r>
        <w:rPr>
          <w:rFonts w:hint="default" w:ascii="Times New Roman" w:hAnsi="Times New Roman" w:eastAsia="仿宋" w:cs="Times New Roman"/>
          <w:spacing w:val="-6"/>
          <w:sz w:val="32"/>
          <w:szCs w:val="32"/>
          <w:highlight w:val="none"/>
          <w:lang w:val="en-US" w:eastAsia="zh-CN"/>
        </w:rPr>
        <w:t>6.</w:t>
      </w:r>
      <w:r>
        <w:rPr>
          <w:rFonts w:hint="default" w:ascii="Times New Roman" w:hAnsi="Times New Roman" w:eastAsia="仿宋" w:cs="Times New Roman"/>
          <w:spacing w:val="-6"/>
          <w:sz w:val="32"/>
          <w:szCs w:val="32"/>
          <w:highlight w:val="none"/>
        </w:rPr>
        <w:t>区直行政事业单位固定资产可更新年限表</w:t>
      </w:r>
    </w:p>
    <w:p w14:paraId="182CB3BE">
      <w:pPr>
        <w:rPr>
          <w:rFonts w:hint="default" w:ascii="Times New Roman" w:hAnsi="Times New Roman" w:cs="Times New Roman"/>
          <w:spacing w:val="-6"/>
          <w:highlight w:val="none"/>
        </w:rPr>
      </w:pPr>
    </w:p>
    <w:p w14:paraId="3EC965BF">
      <w:pPr>
        <w:rPr>
          <w:rFonts w:hint="default" w:ascii="Times New Roman" w:hAnsi="Times New Roman" w:cs="Times New Roman"/>
          <w:spacing w:val="-6"/>
          <w:highlight w:val="none"/>
        </w:rPr>
        <w:sectPr>
          <w:footerReference r:id="rId3" w:type="default"/>
          <w:pgSz w:w="11906" w:h="16838"/>
          <w:pgMar w:top="1610" w:right="1689" w:bottom="1610" w:left="1689" w:header="851" w:footer="992" w:gutter="0"/>
          <w:pgNumType w:fmt="decimal" w:start="1"/>
          <w:cols w:space="425" w:num="1"/>
          <w:docGrid w:type="lines" w:linePitch="312" w:charSpace="0"/>
        </w:sectPr>
      </w:pPr>
    </w:p>
    <w:p w14:paraId="39979D65">
      <w:pPr>
        <w:keepNext w:val="0"/>
        <w:keepLines w:val="0"/>
        <w:pageBreakBefore w:val="0"/>
        <w:widowControl w:val="0"/>
        <w:kinsoku w:val="0"/>
        <w:wordWrap/>
        <w:overflowPunct w:val="0"/>
        <w:topLinePunct w:val="0"/>
        <w:autoSpaceDE w:val="0"/>
        <w:autoSpaceDN w:val="0"/>
        <w:bidi w:val="0"/>
        <w:adjustRightInd w:val="0"/>
        <w:snapToGrid w:val="0"/>
        <w:spacing w:before="123" w:line="224" w:lineRule="auto"/>
        <w:ind w:left="609"/>
        <w:textAlignment w:val="baseline"/>
        <w:rPr>
          <w:rFonts w:hint="default" w:ascii="Times New Roman" w:hAnsi="Times New Roman" w:eastAsia="黑体" w:cs="Times New Roman"/>
          <w:b/>
          <w:bCs/>
          <w:spacing w:val="-6"/>
          <w:sz w:val="38"/>
          <w:szCs w:val="38"/>
          <w:highlight w:val="none"/>
          <w:lang w:val="en-US" w:eastAsia="zh-CN"/>
        </w:rPr>
      </w:pPr>
      <w:r>
        <w:rPr>
          <w:rFonts w:hint="default" w:ascii="Times New Roman" w:hAnsi="Times New Roman" w:eastAsia="黑体" w:cs="Times New Roman"/>
          <w:b/>
          <w:bCs/>
          <w:spacing w:val="-6"/>
          <w:sz w:val="38"/>
          <w:szCs w:val="38"/>
          <w:highlight w:val="none"/>
          <w:lang w:val="en-US" w:eastAsia="zh-CN"/>
        </w:rPr>
        <w:t>附件1</w:t>
      </w:r>
    </w:p>
    <w:p w14:paraId="00EA80DD">
      <w:pPr>
        <w:pStyle w:val="3"/>
        <w:keepNext w:val="0"/>
        <w:keepLines w:val="0"/>
        <w:pageBreakBefore w:val="0"/>
        <w:widowControl w:val="0"/>
        <w:kinsoku w:val="0"/>
        <w:wordWrap/>
        <w:overflowPunct w:val="0"/>
        <w:topLinePunct w:val="0"/>
        <w:autoSpaceDE w:val="0"/>
        <w:autoSpaceDN w:val="0"/>
        <w:bidi w:val="0"/>
        <w:adjustRightInd w:val="0"/>
        <w:snapToGrid w:val="0"/>
        <w:spacing w:before="114" w:line="219" w:lineRule="auto"/>
        <w:jc w:val="center"/>
        <w:textAlignment w:val="baseline"/>
        <w:rPr>
          <w:rFonts w:hint="default" w:ascii="Times New Roman" w:hAnsi="Times New Roman" w:cs="Times New Roman"/>
          <w:b/>
          <w:bCs/>
          <w:spacing w:val="-6"/>
          <w:sz w:val="24"/>
          <w:szCs w:val="24"/>
          <w:highlight w:val="none"/>
        </w:rPr>
      </w:pPr>
      <w:r>
        <w:rPr>
          <w:rFonts w:hint="default" w:ascii="Times New Roman" w:hAnsi="Times New Roman" w:cs="Times New Roman"/>
          <w:b/>
          <w:bCs/>
          <w:spacing w:val="-6"/>
          <w:sz w:val="48"/>
          <w:szCs w:val="48"/>
          <w:highlight w:val="none"/>
          <w:lang w:eastAsia="zh-CN"/>
        </w:rPr>
        <w:t>区</w:t>
      </w:r>
      <w:r>
        <w:rPr>
          <w:rFonts w:hint="default" w:ascii="Times New Roman" w:hAnsi="Times New Roman" w:cs="Times New Roman"/>
          <w:b/>
          <w:bCs/>
          <w:spacing w:val="-6"/>
          <w:sz w:val="48"/>
          <w:szCs w:val="48"/>
          <w:highlight w:val="none"/>
        </w:rPr>
        <w:t>直行政事业单位国有资产无偿划转和对外捐赠申请</w:t>
      </w:r>
      <w:r>
        <w:rPr>
          <w:rFonts w:hint="default" w:ascii="Times New Roman" w:hAnsi="Times New Roman" w:cs="Times New Roman"/>
          <w:b/>
          <w:bCs/>
          <w:spacing w:val="-6"/>
          <w:sz w:val="47"/>
          <w:szCs w:val="47"/>
          <w:highlight w:val="none"/>
        </w:rPr>
        <w:t>表</w:t>
      </w:r>
    </w:p>
    <w:p w14:paraId="75442473">
      <w:pPr>
        <w:keepNext w:val="0"/>
        <w:keepLines w:val="0"/>
        <w:pageBreakBefore w:val="0"/>
        <w:widowControl w:val="0"/>
        <w:kinsoku w:val="0"/>
        <w:wordWrap/>
        <w:overflowPunct w:val="0"/>
        <w:topLinePunct w:val="0"/>
        <w:autoSpaceDE w:val="0"/>
        <w:autoSpaceDN w:val="0"/>
        <w:bidi w:val="0"/>
        <w:adjustRightInd w:val="0"/>
        <w:snapToGrid w:val="0"/>
        <w:spacing w:line="44" w:lineRule="exact"/>
        <w:textAlignment w:val="baseline"/>
        <w:rPr>
          <w:rFonts w:hint="default" w:ascii="Times New Roman" w:hAnsi="Times New Roman" w:cs="Times New Roman"/>
          <w:spacing w:val="-6"/>
          <w:highlight w:val="none"/>
        </w:rPr>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85"/>
        <w:gridCol w:w="1115"/>
        <w:gridCol w:w="451"/>
        <w:gridCol w:w="650"/>
        <w:gridCol w:w="650"/>
        <w:gridCol w:w="1256"/>
        <w:gridCol w:w="1157"/>
        <w:gridCol w:w="711"/>
        <w:gridCol w:w="711"/>
        <w:gridCol w:w="471"/>
        <w:gridCol w:w="1151"/>
        <w:gridCol w:w="1567"/>
        <w:gridCol w:w="711"/>
        <w:gridCol w:w="1201"/>
        <w:gridCol w:w="1256"/>
        <w:gridCol w:w="840"/>
        <w:gridCol w:w="839"/>
        <w:gridCol w:w="366"/>
      </w:tblGrid>
      <w:tr w14:paraId="733F0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4507" w:type="dxa"/>
            <w:gridSpan w:val="6"/>
            <w:tcBorders>
              <w:top w:val="nil"/>
              <w:left w:val="nil"/>
              <w:bottom w:val="single" w:color="auto" w:sz="4" w:space="0"/>
              <w:right w:val="nil"/>
            </w:tcBorders>
            <w:vAlign w:val="top"/>
          </w:tcPr>
          <w:p w14:paraId="15CB51BB">
            <w:pPr>
              <w:keepNext w:val="0"/>
              <w:keepLines w:val="0"/>
              <w:pageBreakBefore w:val="0"/>
              <w:widowControl w:val="0"/>
              <w:kinsoku w:val="0"/>
              <w:wordWrap/>
              <w:overflowPunct w:val="0"/>
              <w:topLinePunct w:val="0"/>
              <w:autoSpaceDE w:val="0"/>
              <w:autoSpaceDN w:val="0"/>
              <w:bidi w:val="0"/>
              <w:adjustRightInd w:val="0"/>
              <w:snapToGrid w:val="0"/>
              <w:spacing w:before="34" w:line="193" w:lineRule="auto"/>
              <w:ind w:left="14"/>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申请单位</w:t>
            </w:r>
            <w:r>
              <w:rPr>
                <w:rFonts w:hint="eastAsia" w:ascii="Times New Roman" w:hAnsi="Times New Roman" w:eastAsia="宋体" w:cs="Times New Roman"/>
                <w:spacing w:val="-6"/>
                <w:sz w:val="24"/>
                <w:szCs w:val="24"/>
                <w:highlight w:val="none"/>
                <w:lang w:eastAsia="zh-CN"/>
              </w:rPr>
              <w:t>（</w:t>
            </w:r>
            <w:r>
              <w:rPr>
                <w:rFonts w:hint="default" w:ascii="Times New Roman" w:hAnsi="Times New Roman" w:eastAsia="宋体" w:cs="Times New Roman"/>
                <w:spacing w:val="-6"/>
                <w:sz w:val="24"/>
                <w:szCs w:val="24"/>
                <w:highlight w:val="none"/>
              </w:rPr>
              <w:t>签章</w:t>
            </w:r>
            <w:r>
              <w:rPr>
                <w:rFonts w:hint="eastAsia" w:ascii="Times New Roman" w:hAnsi="Times New Roman" w:eastAsia="宋体" w:cs="Times New Roman"/>
                <w:spacing w:val="-6"/>
                <w:sz w:val="24"/>
                <w:szCs w:val="24"/>
                <w:highlight w:val="none"/>
                <w:lang w:eastAsia="zh-CN"/>
              </w:rPr>
              <w:t>）</w:t>
            </w:r>
            <w:r>
              <w:rPr>
                <w:rFonts w:hint="default" w:ascii="Times New Roman" w:hAnsi="Times New Roman" w:eastAsia="宋体" w:cs="Times New Roman"/>
                <w:spacing w:val="-6"/>
                <w:sz w:val="24"/>
                <w:szCs w:val="24"/>
                <w:highlight w:val="none"/>
              </w:rPr>
              <w:t>:</w:t>
            </w:r>
          </w:p>
        </w:tc>
        <w:tc>
          <w:tcPr>
            <w:tcW w:w="6479" w:type="dxa"/>
            <w:gridSpan w:val="7"/>
            <w:tcBorders>
              <w:top w:val="nil"/>
              <w:left w:val="nil"/>
              <w:bottom w:val="single" w:color="auto" w:sz="4" w:space="0"/>
              <w:right w:val="nil"/>
            </w:tcBorders>
            <w:vAlign w:val="top"/>
          </w:tcPr>
          <w:p w14:paraId="16EF2F26">
            <w:pPr>
              <w:keepNext w:val="0"/>
              <w:keepLines w:val="0"/>
              <w:pageBreakBefore w:val="0"/>
              <w:widowControl w:val="0"/>
              <w:kinsoku w:val="0"/>
              <w:wordWrap/>
              <w:overflowPunct w:val="0"/>
              <w:topLinePunct w:val="0"/>
              <w:autoSpaceDE w:val="0"/>
              <w:autoSpaceDN w:val="0"/>
              <w:bidi w:val="0"/>
              <w:adjustRightInd w:val="0"/>
              <w:snapToGrid w:val="0"/>
              <w:spacing w:before="13" w:line="219" w:lineRule="auto"/>
              <w:ind w:left="1763"/>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申报日期：             年     月     日</w:t>
            </w:r>
          </w:p>
        </w:tc>
        <w:tc>
          <w:tcPr>
            <w:tcW w:w="2457" w:type="dxa"/>
            <w:gridSpan w:val="2"/>
            <w:tcBorders>
              <w:top w:val="nil"/>
              <w:left w:val="nil"/>
              <w:bottom w:val="single" w:color="auto" w:sz="4" w:space="0"/>
              <w:right w:val="nil"/>
            </w:tcBorders>
            <w:vAlign w:val="top"/>
          </w:tcPr>
          <w:p w14:paraId="7996EC00">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1679" w:type="dxa"/>
            <w:gridSpan w:val="2"/>
            <w:tcBorders>
              <w:top w:val="nil"/>
              <w:left w:val="nil"/>
              <w:bottom w:val="single" w:color="auto" w:sz="4" w:space="0"/>
              <w:right w:val="nil"/>
            </w:tcBorders>
            <w:vAlign w:val="top"/>
          </w:tcPr>
          <w:p w14:paraId="12B1EA22">
            <w:pPr>
              <w:keepNext w:val="0"/>
              <w:keepLines w:val="0"/>
              <w:pageBreakBefore w:val="0"/>
              <w:widowControl w:val="0"/>
              <w:kinsoku w:val="0"/>
              <w:wordWrap/>
              <w:overflowPunct w:val="0"/>
              <w:topLinePunct w:val="0"/>
              <w:autoSpaceDE w:val="0"/>
              <w:autoSpaceDN w:val="0"/>
              <w:bidi w:val="0"/>
              <w:adjustRightInd w:val="0"/>
              <w:snapToGrid w:val="0"/>
              <w:spacing w:before="52" w:line="219" w:lineRule="auto"/>
              <w:ind w:left="789"/>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金额：元</w:t>
            </w:r>
          </w:p>
        </w:tc>
        <w:tc>
          <w:tcPr>
            <w:tcW w:w="366" w:type="dxa"/>
            <w:tcBorders>
              <w:top w:val="nil"/>
              <w:left w:val="nil"/>
              <w:bottom w:val="single" w:color="auto" w:sz="4" w:space="0"/>
              <w:right w:val="nil"/>
            </w:tcBorders>
            <w:vAlign w:val="top"/>
          </w:tcPr>
          <w:p w14:paraId="268BD28A">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r>
      <w:tr w14:paraId="2B441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85" w:type="dxa"/>
            <w:vMerge w:val="restart"/>
            <w:tcBorders>
              <w:top w:val="single" w:color="auto" w:sz="4" w:space="0"/>
              <w:left w:val="single" w:color="auto" w:sz="4" w:space="0"/>
              <w:bottom w:val="single" w:color="auto" w:sz="4" w:space="0"/>
              <w:right w:val="single" w:color="auto" w:sz="4" w:space="0"/>
            </w:tcBorders>
            <w:vAlign w:val="top"/>
          </w:tcPr>
          <w:p w14:paraId="643F93D3">
            <w:pPr>
              <w:keepNext w:val="0"/>
              <w:keepLines w:val="0"/>
              <w:pageBreakBefore w:val="0"/>
              <w:widowControl w:val="0"/>
              <w:kinsoku w:val="0"/>
              <w:wordWrap/>
              <w:overflowPunct w:val="0"/>
              <w:topLinePunct w:val="0"/>
              <w:autoSpaceDE w:val="0"/>
              <w:autoSpaceDN w:val="0"/>
              <w:bidi w:val="0"/>
              <w:adjustRightInd w:val="0"/>
              <w:snapToGrid w:val="0"/>
              <w:spacing w:before="298" w:line="221"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序号</w:t>
            </w:r>
          </w:p>
        </w:tc>
        <w:tc>
          <w:tcPr>
            <w:tcW w:w="1115" w:type="dxa"/>
            <w:vMerge w:val="restart"/>
            <w:tcBorders>
              <w:top w:val="single" w:color="auto" w:sz="4" w:space="0"/>
              <w:left w:val="single" w:color="auto" w:sz="4" w:space="0"/>
              <w:bottom w:val="single" w:color="auto" w:sz="4" w:space="0"/>
              <w:right w:val="single" w:color="auto" w:sz="4" w:space="0"/>
            </w:tcBorders>
            <w:vAlign w:val="center"/>
          </w:tcPr>
          <w:p w14:paraId="4B242EE8">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资产名称</w:t>
            </w:r>
          </w:p>
        </w:tc>
        <w:tc>
          <w:tcPr>
            <w:tcW w:w="451" w:type="dxa"/>
            <w:vMerge w:val="restart"/>
            <w:tcBorders>
              <w:top w:val="single" w:color="auto" w:sz="4" w:space="0"/>
              <w:left w:val="single" w:color="auto" w:sz="4" w:space="0"/>
              <w:bottom w:val="single" w:color="auto" w:sz="4" w:space="0"/>
              <w:right w:val="single" w:color="auto" w:sz="4" w:space="0"/>
            </w:tcBorders>
            <w:vAlign w:val="center"/>
          </w:tcPr>
          <w:p w14:paraId="51C45965">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0"/>
                <w:sz w:val="19"/>
                <w:szCs w:val="19"/>
                <w:highlight w:val="none"/>
              </w:rPr>
              <w:t>卡片编号</w:t>
            </w:r>
          </w:p>
        </w:tc>
        <w:tc>
          <w:tcPr>
            <w:tcW w:w="3713" w:type="dxa"/>
            <w:gridSpan w:val="4"/>
            <w:tcBorders>
              <w:top w:val="single" w:color="auto" w:sz="4" w:space="0"/>
              <w:left w:val="single" w:color="auto" w:sz="4" w:space="0"/>
              <w:bottom w:val="single" w:color="auto" w:sz="4" w:space="0"/>
              <w:right w:val="single" w:color="auto" w:sz="4" w:space="0"/>
            </w:tcBorders>
            <w:vAlign w:val="center"/>
          </w:tcPr>
          <w:p w14:paraId="3B9F244A">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资产类别</w:t>
            </w:r>
          </w:p>
        </w:tc>
        <w:tc>
          <w:tcPr>
            <w:tcW w:w="711" w:type="dxa"/>
            <w:vMerge w:val="restart"/>
            <w:tcBorders>
              <w:top w:val="single" w:color="auto" w:sz="4" w:space="0"/>
              <w:left w:val="single" w:color="auto" w:sz="4" w:space="0"/>
              <w:bottom w:val="single" w:color="auto" w:sz="4" w:space="0"/>
              <w:right w:val="single" w:color="auto" w:sz="4" w:space="0"/>
            </w:tcBorders>
            <w:vAlign w:val="center"/>
          </w:tcPr>
          <w:p w14:paraId="49E0E535">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资产来源</w:t>
            </w:r>
          </w:p>
        </w:tc>
        <w:tc>
          <w:tcPr>
            <w:tcW w:w="711" w:type="dxa"/>
            <w:vMerge w:val="restart"/>
            <w:tcBorders>
              <w:top w:val="single" w:color="auto" w:sz="4" w:space="0"/>
              <w:left w:val="single" w:color="auto" w:sz="4" w:space="0"/>
              <w:bottom w:val="single" w:color="auto" w:sz="4" w:space="0"/>
              <w:right w:val="single" w:color="auto" w:sz="4" w:space="0"/>
            </w:tcBorders>
            <w:vAlign w:val="center"/>
          </w:tcPr>
          <w:p w14:paraId="33BBFAB6">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型号规格</w:t>
            </w:r>
          </w:p>
        </w:tc>
        <w:tc>
          <w:tcPr>
            <w:tcW w:w="471" w:type="dxa"/>
            <w:vMerge w:val="restart"/>
            <w:tcBorders>
              <w:top w:val="single" w:color="auto" w:sz="4" w:space="0"/>
              <w:left w:val="single" w:color="auto" w:sz="4" w:space="0"/>
              <w:bottom w:val="single" w:color="auto" w:sz="4" w:space="0"/>
              <w:right w:val="single" w:color="auto" w:sz="4" w:space="0"/>
            </w:tcBorders>
            <w:vAlign w:val="center"/>
          </w:tcPr>
          <w:p w14:paraId="414E814F">
            <w:pPr>
              <w:keepNext w:val="0"/>
              <w:keepLines w:val="0"/>
              <w:pageBreakBefore w:val="0"/>
              <w:widowControl w:val="0"/>
              <w:kinsoku w:val="0"/>
              <w:wordWrap/>
              <w:overflowPunct w:val="0"/>
              <w:topLinePunct w:val="0"/>
              <w:autoSpaceDE w:val="0"/>
              <w:autoSpaceDN w:val="0"/>
              <w:bidi w:val="0"/>
              <w:adjustRightInd w:val="0"/>
              <w:snapToGrid w:val="0"/>
              <w:spacing w:line="226"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计量单位</w:t>
            </w:r>
          </w:p>
        </w:tc>
        <w:tc>
          <w:tcPr>
            <w:tcW w:w="1151" w:type="dxa"/>
            <w:vMerge w:val="restart"/>
            <w:tcBorders>
              <w:top w:val="single" w:color="auto" w:sz="4" w:space="0"/>
              <w:left w:val="single" w:color="auto" w:sz="4" w:space="0"/>
              <w:bottom w:val="single" w:color="auto" w:sz="4" w:space="0"/>
              <w:right w:val="single" w:color="auto" w:sz="4" w:space="0"/>
            </w:tcBorders>
            <w:vAlign w:val="center"/>
          </w:tcPr>
          <w:p w14:paraId="75AC9315">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数量</w:t>
            </w:r>
          </w:p>
        </w:tc>
        <w:tc>
          <w:tcPr>
            <w:tcW w:w="1567" w:type="dxa"/>
            <w:vMerge w:val="restart"/>
            <w:tcBorders>
              <w:top w:val="single" w:color="auto" w:sz="4" w:space="0"/>
              <w:left w:val="single" w:color="auto" w:sz="4" w:space="0"/>
              <w:bottom w:val="single" w:color="auto" w:sz="4" w:space="0"/>
              <w:right w:val="single" w:color="auto" w:sz="4" w:space="0"/>
            </w:tcBorders>
            <w:vAlign w:val="center"/>
          </w:tcPr>
          <w:p w14:paraId="16CA1A4D">
            <w:pPr>
              <w:keepNext w:val="0"/>
              <w:keepLines w:val="0"/>
              <w:pageBreakBefore w:val="0"/>
              <w:widowControl w:val="0"/>
              <w:kinsoku w:val="0"/>
              <w:wordWrap/>
              <w:overflowPunct w:val="0"/>
              <w:topLinePunct w:val="0"/>
              <w:autoSpaceDE w:val="0"/>
              <w:autoSpaceDN w:val="0"/>
              <w:bidi w:val="0"/>
              <w:adjustRightInd w:val="0"/>
              <w:snapToGrid w:val="0"/>
              <w:spacing w:line="212"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购置</w:t>
            </w:r>
            <w:r>
              <w:rPr>
                <w:rFonts w:hint="eastAsia" w:ascii="Times New Roman" w:hAnsi="Times New Roman" w:eastAsia="宋体" w:cs="Times New Roman"/>
                <w:spacing w:val="-6"/>
                <w:sz w:val="19"/>
                <w:szCs w:val="19"/>
                <w:highlight w:val="none"/>
                <w:lang w:eastAsia="zh-CN"/>
              </w:rPr>
              <w:t>（</w:t>
            </w:r>
            <w:r>
              <w:rPr>
                <w:rFonts w:hint="default" w:ascii="Times New Roman" w:hAnsi="Times New Roman" w:eastAsia="宋体" w:cs="Times New Roman"/>
                <w:spacing w:val="-6"/>
                <w:sz w:val="19"/>
                <w:szCs w:val="19"/>
                <w:highlight w:val="none"/>
              </w:rPr>
              <w:t>投资/ 建造</w:t>
            </w:r>
            <w:r>
              <w:rPr>
                <w:rFonts w:hint="eastAsia" w:ascii="Times New Roman" w:hAnsi="Times New Roman" w:eastAsia="宋体" w:cs="Times New Roman"/>
                <w:spacing w:val="-6"/>
                <w:sz w:val="19"/>
                <w:szCs w:val="19"/>
                <w:highlight w:val="none"/>
                <w:lang w:eastAsia="zh-CN"/>
              </w:rPr>
              <w:t>）</w:t>
            </w:r>
            <w:r>
              <w:rPr>
                <w:rFonts w:hint="default" w:ascii="Times New Roman" w:hAnsi="Times New Roman" w:eastAsia="宋体" w:cs="Times New Roman"/>
                <w:spacing w:val="-6"/>
                <w:sz w:val="19"/>
                <w:szCs w:val="19"/>
                <w:highlight w:val="none"/>
              </w:rPr>
              <w:t>日期</w:t>
            </w:r>
          </w:p>
        </w:tc>
        <w:tc>
          <w:tcPr>
            <w:tcW w:w="4008" w:type="dxa"/>
            <w:gridSpan w:val="4"/>
            <w:tcBorders>
              <w:top w:val="single" w:color="auto" w:sz="4" w:space="0"/>
              <w:left w:val="single" w:color="auto" w:sz="4" w:space="0"/>
              <w:bottom w:val="single" w:color="auto" w:sz="4" w:space="0"/>
              <w:right w:val="single" w:color="auto" w:sz="4" w:space="0"/>
            </w:tcBorders>
            <w:vAlign w:val="center"/>
          </w:tcPr>
          <w:p w14:paraId="021DCA4B">
            <w:pPr>
              <w:keepNext w:val="0"/>
              <w:keepLines w:val="0"/>
              <w:pageBreakBefore w:val="0"/>
              <w:widowControl w:val="0"/>
              <w:kinsoku w:val="0"/>
              <w:wordWrap/>
              <w:overflowPunct w:val="0"/>
              <w:topLinePunct w:val="0"/>
              <w:autoSpaceDE w:val="0"/>
              <w:autoSpaceDN w:val="0"/>
              <w:bidi w:val="0"/>
              <w:adjustRightInd w:val="0"/>
              <w:snapToGrid w:val="0"/>
              <w:spacing w:line="218"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价值</w:t>
            </w:r>
          </w:p>
        </w:tc>
        <w:tc>
          <w:tcPr>
            <w:tcW w:w="839" w:type="dxa"/>
            <w:vMerge w:val="restart"/>
            <w:tcBorders>
              <w:top w:val="single" w:color="auto" w:sz="4" w:space="0"/>
              <w:left w:val="single" w:color="auto" w:sz="4" w:space="0"/>
              <w:bottom w:val="single" w:color="auto" w:sz="4" w:space="0"/>
              <w:right w:val="single" w:color="auto" w:sz="4" w:space="0"/>
            </w:tcBorders>
            <w:vAlign w:val="center"/>
          </w:tcPr>
          <w:p w14:paraId="4E8256CF">
            <w:pPr>
              <w:keepNext w:val="0"/>
              <w:keepLines w:val="0"/>
              <w:pageBreakBefore w:val="0"/>
              <w:widowControl w:val="0"/>
              <w:kinsoku w:val="0"/>
              <w:wordWrap/>
              <w:overflowPunct w:val="0"/>
              <w:topLinePunct w:val="0"/>
              <w:autoSpaceDE w:val="0"/>
              <w:autoSpaceDN w:val="0"/>
              <w:bidi w:val="0"/>
              <w:adjustRightInd w:val="0"/>
              <w:snapToGrid w:val="0"/>
              <w:spacing w:line="226"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处置方式</w:t>
            </w:r>
          </w:p>
        </w:tc>
        <w:tc>
          <w:tcPr>
            <w:tcW w:w="366" w:type="dxa"/>
            <w:vMerge w:val="restart"/>
            <w:tcBorders>
              <w:top w:val="single" w:color="auto" w:sz="4" w:space="0"/>
              <w:left w:val="single" w:color="auto" w:sz="4" w:space="0"/>
              <w:bottom w:val="single" w:color="auto" w:sz="4" w:space="0"/>
              <w:right w:val="single" w:color="auto" w:sz="4" w:space="0"/>
            </w:tcBorders>
            <w:vAlign w:val="center"/>
          </w:tcPr>
          <w:p w14:paraId="79FEA8FA">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right="0" w:firstLine="0"/>
              <w:jc w:val="both"/>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备注</w:t>
            </w:r>
          </w:p>
        </w:tc>
      </w:tr>
      <w:tr w14:paraId="2992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85" w:type="dxa"/>
            <w:vMerge w:val="continue"/>
            <w:tcBorders>
              <w:top w:val="single" w:color="auto" w:sz="4" w:space="0"/>
              <w:left w:val="single" w:color="auto" w:sz="4" w:space="0"/>
            </w:tcBorders>
            <w:vAlign w:val="top"/>
          </w:tcPr>
          <w:p w14:paraId="6B3E9ABE">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115" w:type="dxa"/>
            <w:vMerge w:val="continue"/>
            <w:tcBorders>
              <w:top w:val="single" w:color="auto" w:sz="4" w:space="0"/>
            </w:tcBorders>
            <w:vAlign w:val="center"/>
          </w:tcPr>
          <w:p w14:paraId="7FC39EBB">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451" w:type="dxa"/>
            <w:vMerge w:val="continue"/>
            <w:tcBorders>
              <w:top w:val="single" w:color="auto" w:sz="4" w:space="0"/>
            </w:tcBorders>
            <w:vAlign w:val="center"/>
          </w:tcPr>
          <w:p w14:paraId="3F12A1E3">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650" w:type="dxa"/>
            <w:tcBorders>
              <w:top w:val="single" w:color="auto" w:sz="4" w:space="0"/>
            </w:tcBorders>
            <w:vAlign w:val="center"/>
          </w:tcPr>
          <w:p w14:paraId="7B7D46E8">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固定资产</w:t>
            </w:r>
          </w:p>
        </w:tc>
        <w:tc>
          <w:tcPr>
            <w:tcW w:w="650" w:type="dxa"/>
            <w:tcBorders>
              <w:top w:val="single" w:color="auto" w:sz="4" w:space="0"/>
            </w:tcBorders>
            <w:vAlign w:val="center"/>
          </w:tcPr>
          <w:p w14:paraId="5F854E23">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无形资产</w:t>
            </w:r>
          </w:p>
        </w:tc>
        <w:tc>
          <w:tcPr>
            <w:tcW w:w="1256" w:type="dxa"/>
            <w:tcBorders>
              <w:top w:val="single" w:color="auto" w:sz="4" w:space="0"/>
            </w:tcBorders>
            <w:vAlign w:val="center"/>
          </w:tcPr>
          <w:p w14:paraId="7089FACD">
            <w:pPr>
              <w:keepNext w:val="0"/>
              <w:keepLines w:val="0"/>
              <w:pageBreakBefore w:val="0"/>
              <w:widowControl w:val="0"/>
              <w:kinsoku w:val="0"/>
              <w:wordWrap/>
              <w:overflowPunct w:val="0"/>
              <w:topLinePunct w:val="0"/>
              <w:autoSpaceDE w:val="0"/>
              <w:autoSpaceDN w:val="0"/>
              <w:bidi w:val="0"/>
              <w:adjustRightInd w:val="0"/>
              <w:snapToGrid w:val="0"/>
              <w:spacing w:line="220"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对外投资</w:t>
            </w:r>
          </w:p>
        </w:tc>
        <w:tc>
          <w:tcPr>
            <w:tcW w:w="1157" w:type="dxa"/>
            <w:tcBorders>
              <w:top w:val="single" w:color="auto" w:sz="4" w:space="0"/>
            </w:tcBorders>
            <w:vAlign w:val="center"/>
          </w:tcPr>
          <w:p w14:paraId="1F14B006">
            <w:pPr>
              <w:keepNext w:val="0"/>
              <w:keepLines w:val="0"/>
              <w:pageBreakBefore w:val="0"/>
              <w:widowControl w:val="0"/>
              <w:kinsoku w:val="0"/>
              <w:wordWrap/>
              <w:overflowPunct w:val="0"/>
              <w:topLinePunct w:val="0"/>
              <w:autoSpaceDE w:val="0"/>
              <w:autoSpaceDN w:val="0"/>
              <w:bidi w:val="0"/>
              <w:adjustRightInd w:val="0"/>
              <w:snapToGrid w:val="0"/>
              <w:spacing w:line="217"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存货等其他 资产</w:t>
            </w:r>
          </w:p>
        </w:tc>
        <w:tc>
          <w:tcPr>
            <w:tcW w:w="711" w:type="dxa"/>
            <w:vMerge w:val="continue"/>
            <w:tcBorders>
              <w:top w:val="single" w:color="auto" w:sz="4" w:space="0"/>
            </w:tcBorders>
            <w:vAlign w:val="center"/>
          </w:tcPr>
          <w:p w14:paraId="27D02310">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711" w:type="dxa"/>
            <w:vMerge w:val="continue"/>
            <w:tcBorders>
              <w:top w:val="single" w:color="auto" w:sz="4" w:space="0"/>
            </w:tcBorders>
            <w:vAlign w:val="center"/>
          </w:tcPr>
          <w:p w14:paraId="6881DFCA">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471" w:type="dxa"/>
            <w:vMerge w:val="continue"/>
            <w:tcBorders>
              <w:top w:val="single" w:color="auto" w:sz="4" w:space="0"/>
            </w:tcBorders>
            <w:vAlign w:val="center"/>
          </w:tcPr>
          <w:p w14:paraId="483D793C">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151" w:type="dxa"/>
            <w:vMerge w:val="continue"/>
            <w:tcBorders>
              <w:top w:val="single" w:color="auto" w:sz="4" w:space="0"/>
            </w:tcBorders>
            <w:vAlign w:val="center"/>
          </w:tcPr>
          <w:p w14:paraId="3A01F477">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567" w:type="dxa"/>
            <w:vMerge w:val="continue"/>
            <w:tcBorders>
              <w:top w:val="single" w:color="auto" w:sz="4" w:space="0"/>
            </w:tcBorders>
            <w:vAlign w:val="center"/>
          </w:tcPr>
          <w:p w14:paraId="52F2907C">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711" w:type="dxa"/>
            <w:tcBorders>
              <w:top w:val="single" w:color="auto" w:sz="4" w:space="0"/>
            </w:tcBorders>
            <w:vAlign w:val="center"/>
          </w:tcPr>
          <w:p w14:paraId="2C13572F">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账面原值</w:t>
            </w:r>
          </w:p>
        </w:tc>
        <w:tc>
          <w:tcPr>
            <w:tcW w:w="1201" w:type="dxa"/>
            <w:tcBorders>
              <w:top w:val="single" w:color="auto" w:sz="4" w:space="0"/>
            </w:tcBorders>
            <w:vAlign w:val="center"/>
          </w:tcPr>
          <w:p w14:paraId="1B278DBF">
            <w:pPr>
              <w:keepNext w:val="0"/>
              <w:keepLines w:val="0"/>
              <w:pageBreakBefore w:val="0"/>
              <w:widowControl w:val="0"/>
              <w:kinsoku w:val="0"/>
              <w:wordWrap/>
              <w:overflowPunct w:val="0"/>
              <w:topLinePunct w:val="0"/>
              <w:autoSpaceDE w:val="0"/>
              <w:autoSpaceDN w:val="0"/>
              <w:bidi w:val="0"/>
              <w:adjustRightInd w:val="0"/>
              <w:snapToGrid w:val="0"/>
              <w:spacing w:line="216" w:lineRule="auto"/>
              <w:ind w:left="0" w:right="0" w:firstLine="0"/>
              <w:jc w:val="center"/>
              <w:textAlignment w:val="baseline"/>
              <w:rPr>
                <w:rFonts w:hint="eastAsia" w:ascii="Times New Roman" w:hAnsi="Times New Roman" w:eastAsia="宋体" w:cs="Times New Roman"/>
                <w:spacing w:val="-6"/>
                <w:sz w:val="19"/>
                <w:szCs w:val="19"/>
                <w:highlight w:val="none"/>
                <w:lang w:eastAsia="zh-CN"/>
              </w:rPr>
            </w:pPr>
            <w:r>
              <w:rPr>
                <w:rFonts w:hint="default" w:ascii="Times New Roman" w:hAnsi="Times New Roman" w:eastAsia="宋体" w:cs="Times New Roman"/>
                <w:spacing w:val="-6"/>
                <w:sz w:val="19"/>
                <w:szCs w:val="19"/>
                <w:highlight w:val="none"/>
              </w:rPr>
              <w:t>已计提折旧</w:t>
            </w:r>
            <w:r>
              <w:rPr>
                <w:rFonts w:hint="eastAsia" w:ascii="Times New Roman" w:hAnsi="Times New Roman" w:eastAsia="宋体" w:cs="Times New Roman"/>
                <w:spacing w:val="-6"/>
                <w:sz w:val="19"/>
                <w:szCs w:val="19"/>
                <w:highlight w:val="none"/>
                <w:lang w:eastAsia="zh-CN"/>
              </w:rPr>
              <w:t>（</w:t>
            </w:r>
            <w:r>
              <w:rPr>
                <w:rFonts w:hint="default" w:ascii="Times New Roman" w:hAnsi="Times New Roman" w:eastAsia="宋体" w:cs="Times New Roman"/>
                <w:spacing w:val="-6"/>
                <w:sz w:val="19"/>
                <w:szCs w:val="19"/>
                <w:highlight w:val="none"/>
              </w:rPr>
              <w:t>摊销</w:t>
            </w:r>
            <w:r>
              <w:rPr>
                <w:rFonts w:hint="eastAsia" w:ascii="Times New Roman" w:hAnsi="Times New Roman" w:eastAsia="宋体" w:cs="Times New Roman"/>
                <w:spacing w:val="-6"/>
                <w:sz w:val="19"/>
                <w:szCs w:val="19"/>
                <w:highlight w:val="none"/>
                <w:lang w:eastAsia="zh-CN"/>
              </w:rPr>
              <w:t>）</w:t>
            </w:r>
          </w:p>
        </w:tc>
        <w:tc>
          <w:tcPr>
            <w:tcW w:w="1256" w:type="dxa"/>
            <w:tcBorders>
              <w:top w:val="single" w:color="auto" w:sz="4" w:space="0"/>
            </w:tcBorders>
            <w:vAlign w:val="center"/>
          </w:tcPr>
          <w:p w14:paraId="4CB14498">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账面净值</w:t>
            </w:r>
          </w:p>
        </w:tc>
        <w:tc>
          <w:tcPr>
            <w:tcW w:w="840" w:type="dxa"/>
            <w:tcBorders>
              <w:top w:val="single" w:color="auto" w:sz="4" w:space="0"/>
            </w:tcBorders>
            <w:vAlign w:val="center"/>
          </w:tcPr>
          <w:p w14:paraId="21666F79">
            <w:pPr>
              <w:keepNext w:val="0"/>
              <w:keepLines w:val="0"/>
              <w:pageBreakBefore w:val="0"/>
              <w:widowControl w:val="0"/>
              <w:kinsoku w:val="0"/>
              <w:wordWrap/>
              <w:overflowPunct w:val="0"/>
              <w:topLinePunct w:val="0"/>
              <w:autoSpaceDE w:val="0"/>
              <w:autoSpaceDN w:val="0"/>
              <w:bidi w:val="0"/>
              <w:adjustRightInd w:val="0"/>
              <w:snapToGrid w:val="0"/>
              <w:spacing w:line="218"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评估价值</w:t>
            </w:r>
          </w:p>
        </w:tc>
        <w:tc>
          <w:tcPr>
            <w:tcW w:w="839" w:type="dxa"/>
            <w:vMerge w:val="continue"/>
            <w:tcBorders>
              <w:top w:val="single" w:color="auto" w:sz="4" w:space="0"/>
            </w:tcBorders>
            <w:vAlign w:val="center"/>
          </w:tcPr>
          <w:p w14:paraId="526065D8">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366" w:type="dxa"/>
            <w:vMerge w:val="continue"/>
            <w:tcBorders>
              <w:top w:val="single" w:color="auto" w:sz="4" w:space="0"/>
              <w:right w:val="single" w:color="auto" w:sz="4" w:space="0"/>
            </w:tcBorders>
            <w:vAlign w:val="center"/>
          </w:tcPr>
          <w:p w14:paraId="3D05293A">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r>
      <w:tr w14:paraId="4A099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85" w:type="dxa"/>
            <w:vAlign w:val="top"/>
          </w:tcPr>
          <w:p w14:paraId="7C575E34">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115" w:type="dxa"/>
            <w:vAlign w:val="top"/>
          </w:tcPr>
          <w:p w14:paraId="5EB6BE54">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451" w:type="dxa"/>
            <w:vAlign w:val="top"/>
          </w:tcPr>
          <w:p w14:paraId="6D4956A6">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650" w:type="dxa"/>
            <w:vAlign w:val="top"/>
          </w:tcPr>
          <w:p w14:paraId="43B360D2">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650" w:type="dxa"/>
            <w:vAlign w:val="top"/>
          </w:tcPr>
          <w:p w14:paraId="1ADF3986">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256" w:type="dxa"/>
            <w:vAlign w:val="top"/>
          </w:tcPr>
          <w:p w14:paraId="3C77EF7F">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157" w:type="dxa"/>
            <w:vAlign w:val="top"/>
          </w:tcPr>
          <w:p w14:paraId="4FA5E00A">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711" w:type="dxa"/>
            <w:vAlign w:val="top"/>
          </w:tcPr>
          <w:p w14:paraId="2F0B49DC">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711" w:type="dxa"/>
            <w:vAlign w:val="top"/>
          </w:tcPr>
          <w:p w14:paraId="709D0DD5">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471" w:type="dxa"/>
            <w:vAlign w:val="top"/>
          </w:tcPr>
          <w:p w14:paraId="34698A22">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151" w:type="dxa"/>
            <w:vAlign w:val="top"/>
          </w:tcPr>
          <w:p w14:paraId="01E863D1">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567" w:type="dxa"/>
            <w:vAlign w:val="top"/>
          </w:tcPr>
          <w:p w14:paraId="7D59DB13">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711" w:type="dxa"/>
            <w:vAlign w:val="top"/>
          </w:tcPr>
          <w:p w14:paraId="1F12C2F3">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201" w:type="dxa"/>
            <w:vAlign w:val="top"/>
          </w:tcPr>
          <w:p w14:paraId="71F2CB66">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256" w:type="dxa"/>
            <w:vAlign w:val="top"/>
          </w:tcPr>
          <w:p w14:paraId="19C4DD30">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840" w:type="dxa"/>
            <w:vAlign w:val="top"/>
          </w:tcPr>
          <w:p w14:paraId="759707FB">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839" w:type="dxa"/>
            <w:vAlign w:val="top"/>
          </w:tcPr>
          <w:p w14:paraId="24AA7006">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366" w:type="dxa"/>
            <w:vAlign w:val="top"/>
          </w:tcPr>
          <w:p w14:paraId="1218988D">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r>
      <w:tr w14:paraId="601E4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385" w:type="dxa"/>
            <w:vAlign w:val="top"/>
          </w:tcPr>
          <w:p w14:paraId="702BEB89">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115" w:type="dxa"/>
            <w:vAlign w:val="top"/>
          </w:tcPr>
          <w:p w14:paraId="6024829C">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451" w:type="dxa"/>
            <w:vAlign w:val="top"/>
          </w:tcPr>
          <w:p w14:paraId="498EEA33">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650" w:type="dxa"/>
            <w:vAlign w:val="top"/>
          </w:tcPr>
          <w:p w14:paraId="71D29AB0">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650" w:type="dxa"/>
            <w:vAlign w:val="top"/>
          </w:tcPr>
          <w:p w14:paraId="63CF4759">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256" w:type="dxa"/>
            <w:vAlign w:val="top"/>
          </w:tcPr>
          <w:p w14:paraId="4F4C7021">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157" w:type="dxa"/>
            <w:vAlign w:val="top"/>
          </w:tcPr>
          <w:p w14:paraId="30C1F6D6">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711" w:type="dxa"/>
            <w:vAlign w:val="top"/>
          </w:tcPr>
          <w:p w14:paraId="2072B38E">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711" w:type="dxa"/>
            <w:vAlign w:val="top"/>
          </w:tcPr>
          <w:p w14:paraId="6B0E97BD">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471" w:type="dxa"/>
            <w:vAlign w:val="top"/>
          </w:tcPr>
          <w:p w14:paraId="32FF46DE">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151" w:type="dxa"/>
            <w:vAlign w:val="top"/>
          </w:tcPr>
          <w:p w14:paraId="198724D2">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567" w:type="dxa"/>
            <w:vAlign w:val="top"/>
          </w:tcPr>
          <w:p w14:paraId="24A267D9">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711" w:type="dxa"/>
            <w:vAlign w:val="top"/>
          </w:tcPr>
          <w:p w14:paraId="212AE3EF">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201" w:type="dxa"/>
            <w:vAlign w:val="top"/>
          </w:tcPr>
          <w:p w14:paraId="4CCBC02A">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256" w:type="dxa"/>
            <w:vAlign w:val="top"/>
          </w:tcPr>
          <w:p w14:paraId="6B2685A9">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840" w:type="dxa"/>
            <w:vAlign w:val="top"/>
          </w:tcPr>
          <w:p w14:paraId="7E03E35E">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839" w:type="dxa"/>
            <w:vAlign w:val="top"/>
          </w:tcPr>
          <w:p w14:paraId="20F8A34A">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366" w:type="dxa"/>
            <w:vAlign w:val="top"/>
          </w:tcPr>
          <w:p w14:paraId="2B779995">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r>
      <w:tr w14:paraId="0C20F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385" w:type="dxa"/>
            <w:vAlign w:val="top"/>
          </w:tcPr>
          <w:p w14:paraId="10E5BFB0">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115" w:type="dxa"/>
            <w:vAlign w:val="top"/>
          </w:tcPr>
          <w:p w14:paraId="52C716CA">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451" w:type="dxa"/>
            <w:vAlign w:val="top"/>
          </w:tcPr>
          <w:p w14:paraId="5549C72A">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650" w:type="dxa"/>
            <w:vAlign w:val="top"/>
          </w:tcPr>
          <w:p w14:paraId="68858CBB">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650" w:type="dxa"/>
            <w:vAlign w:val="top"/>
          </w:tcPr>
          <w:p w14:paraId="0C3E0ED6">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256" w:type="dxa"/>
            <w:vAlign w:val="top"/>
          </w:tcPr>
          <w:p w14:paraId="44DF39AD">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157" w:type="dxa"/>
            <w:vAlign w:val="top"/>
          </w:tcPr>
          <w:p w14:paraId="0F7AA51E">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711" w:type="dxa"/>
            <w:vAlign w:val="top"/>
          </w:tcPr>
          <w:p w14:paraId="1A3A1C4F">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711" w:type="dxa"/>
            <w:vAlign w:val="top"/>
          </w:tcPr>
          <w:p w14:paraId="778D2D2F">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471" w:type="dxa"/>
            <w:vAlign w:val="top"/>
          </w:tcPr>
          <w:p w14:paraId="5E82605D">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151" w:type="dxa"/>
            <w:vAlign w:val="top"/>
          </w:tcPr>
          <w:p w14:paraId="08B70258">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567" w:type="dxa"/>
            <w:vAlign w:val="top"/>
          </w:tcPr>
          <w:p w14:paraId="0E9B4510">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711" w:type="dxa"/>
            <w:vAlign w:val="top"/>
          </w:tcPr>
          <w:p w14:paraId="74A0FDAD">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201" w:type="dxa"/>
            <w:vAlign w:val="top"/>
          </w:tcPr>
          <w:p w14:paraId="7F00AA03">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256" w:type="dxa"/>
            <w:vAlign w:val="top"/>
          </w:tcPr>
          <w:p w14:paraId="4F9252A9">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840" w:type="dxa"/>
            <w:vAlign w:val="top"/>
          </w:tcPr>
          <w:p w14:paraId="602D25A7">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839" w:type="dxa"/>
            <w:vAlign w:val="top"/>
          </w:tcPr>
          <w:p w14:paraId="159C72CE">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366" w:type="dxa"/>
            <w:vAlign w:val="top"/>
          </w:tcPr>
          <w:p w14:paraId="61D1BDF2">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r>
      <w:tr w14:paraId="2930E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85" w:type="dxa"/>
            <w:vAlign w:val="top"/>
          </w:tcPr>
          <w:p w14:paraId="427C3C9D">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115" w:type="dxa"/>
            <w:vAlign w:val="top"/>
          </w:tcPr>
          <w:p w14:paraId="08B2567E">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451" w:type="dxa"/>
            <w:vAlign w:val="top"/>
          </w:tcPr>
          <w:p w14:paraId="1437635F">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650" w:type="dxa"/>
            <w:vAlign w:val="top"/>
          </w:tcPr>
          <w:p w14:paraId="00ABECDA">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650" w:type="dxa"/>
            <w:vAlign w:val="top"/>
          </w:tcPr>
          <w:p w14:paraId="782E2437">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256" w:type="dxa"/>
            <w:vAlign w:val="top"/>
          </w:tcPr>
          <w:p w14:paraId="432F6D49">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157" w:type="dxa"/>
            <w:vAlign w:val="top"/>
          </w:tcPr>
          <w:p w14:paraId="76EEFA59">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711" w:type="dxa"/>
            <w:vAlign w:val="top"/>
          </w:tcPr>
          <w:p w14:paraId="1BE0CAA7">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711" w:type="dxa"/>
            <w:vAlign w:val="top"/>
          </w:tcPr>
          <w:p w14:paraId="51D6A173">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471" w:type="dxa"/>
            <w:vAlign w:val="top"/>
          </w:tcPr>
          <w:p w14:paraId="3A0F42D4">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151" w:type="dxa"/>
            <w:vAlign w:val="top"/>
          </w:tcPr>
          <w:p w14:paraId="7B25AB1B">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567" w:type="dxa"/>
            <w:vAlign w:val="top"/>
          </w:tcPr>
          <w:p w14:paraId="6ED0A416">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711" w:type="dxa"/>
            <w:vAlign w:val="top"/>
          </w:tcPr>
          <w:p w14:paraId="0633C2C7">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201" w:type="dxa"/>
            <w:vAlign w:val="top"/>
          </w:tcPr>
          <w:p w14:paraId="347B5D43">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1256" w:type="dxa"/>
            <w:vAlign w:val="top"/>
          </w:tcPr>
          <w:p w14:paraId="5A10137B">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840" w:type="dxa"/>
            <w:vAlign w:val="top"/>
          </w:tcPr>
          <w:p w14:paraId="34E8F311">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839" w:type="dxa"/>
            <w:vAlign w:val="top"/>
          </w:tcPr>
          <w:p w14:paraId="6400B22C">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c>
          <w:tcPr>
            <w:tcW w:w="366" w:type="dxa"/>
            <w:vAlign w:val="top"/>
          </w:tcPr>
          <w:p w14:paraId="4373D822">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r>
      <w:tr w14:paraId="01252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500" w:type="dxa"/>
            <w:gridSpan w:val="2"/>
            <w:vAlign w:val="center"/>
          </w:tcPr>
          <w:p w14:paraId="7240F868">
            <w:pPr>
              <w:keepNext w:val="0"/>
              <w:keepLines w:val="0"/>
              <w:pageBreakBefore w:val="0"/>
              <w:widowControl w:val="0"/>
              <w:kinsoku w:val="0"/>
              <w:wordWrap/>
              <w:overflowPunct w:val="0"/>
              <w:topLinePunct w:val="0"/>
              <w:autoSpaceDE w:val="0"/>
              <w:autoSpaceDN w:val="0"/>
              <w:bidi w:val="0"/>
              <w:adjustRightInd w:val="0"/>
              <w:snapToGrid w:val="0"/>
              <w:spacing w:line="224"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处置原因</w:t>
            </w:r>
          </w:p>
        </w:tc>
        <w:tc>
          <w:tcPr>
            <w:tcW w:w="13988" w:type="dxa"/>
            <w:gridSpan w:val="16"/>
            <w:vAlign w:val="top"/>
          </w:tcPr>
          <w:p w14:paraId="0888B8A9">
            <w:pPr>
              <w:pStyle w:val="9"/>
              <w:keepNext w:val="0"/>
              <w:keepLines w:val="0"/>
              <w:pageBreakBefore w:val="0"/>
              <w:widowControl w:val="0"/>
              <w:kinsoku w:val="0"/>
              <w:wordWrap/>
              <w:overflowPunct w:val="0"/>
              <w:topLinePunct w:val="0"/>
              <w:autoSpaceDE w:val="0"/>
              <w:autoSpaceDN w:val="0"/>
              <w:bidi w:val="0"/>
              <w:adjustRightInd w:val="0"/>
              <w:snapToGrid w:val="0"/>
              <w:ind w:left="0" w:right="0" w:firstLine="0"/>
              <w:jc w:val="center"/>
              <w:textAlignment w:val="baseline"/>
              <w:rPr>
                <w:rFonts w:hint="default" w:ascii="Times New Roman" w:hAnsi="Times New Roman" w:cs="Times New Roman"/>
                <w:spacing w:val="-6"/>
                <w:highlight w:val="none"/>
              </w:rPr>
            </w:pPr>
          </w:p>
        </w:tc>
      </w:tr>
      <w:tr w14:paraId="46E9B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85" w:type="dxa"/>
            <w:vMerge w:val="restart"/>
            <w:textDirection w:val="tbLrV"/>
            <w:vAlign w:val="center"/>
          </w:tcPr>
          <w:p w14:paraId="73375CED">
            <w:pPr>
              <w:keepNext w:val="0"/>
              <w:keepLines w:val="0"/>
              <w:pageBreakBefore w:val="0"/>
              <w:widowControl w:val="0"/>
              <w:kinsoku w:val="0"/>
              <w:wordWrap/>
              <w:overflowPunct w:val="0"/>
              <w:topLinePunct w:val="0"/>
              <w:autoSpaceDE w:val="0"/>
              <w:autoSpaceDN w:val="0"/>
              <w:bidi w:val="0"/>
              <w:adjustRightInd w:val="0"/>
              <w:snapToGrid w:val="0"/>
              <w:spacing w:line="218" w:lineRule="auto"/>
              <w:ind w:left="0" w:right="0" w:firstLine="0"/>
              <w:jc w:val="center"/>
              <w:textAlignment w:val="baseline"/>
              <w:rPr>
                <w:rFonts w:hint="default" w:ascii="Times New Roman" w:hAnsi="Times New Roman" w:eastAsia="宋体" w:cs="Times New Roman"/>
                <w:spacing w:val="-6"/>
                <w:sz w:val="19"/>
                <w:szCs w:val="19"/>
                <w:highlight w:val="none"/>
                <w:lang w:eastAsia="zh-CN"/>
              </w:rPr>
            </w:pPr>
            <w:r>
              <w:rPr>
                <w:rFonts w:hint="default" w:ascii="Times New Roman" w:hAnsi="Times New Roman" w:eastAsia="宋体" w:cs="Times New Roman"/>
                <w:spacing w:val="-6"/>
                <w:sz w:val="19"/>
                <w:szCs w:val="19"/>
                <w:highlight w:val="none"/>
                <w:lang w:eastAsia="zh-CN"/>
              </w:rPr>
              <w:t>划出方</w:t>
            </w:r>
          </w:p>
        </w:tc>
        <w:tc>
          <w:tcPr>
            <w:tcW w:w="1115" w:type="dxa"/>
            <w:vMerge w:val="restart"/>
            <w:vAlign w:val="center"/>
          </w:tcPr>
          <w:p w14:paraId="377399A7">
            <w:pPr>
              <w:keepNext w:val="0"/>
              <w:keepLines w:val="0"/>
              <w:pageBreakBefore w:val="0"/>
              <w:widowControl w:val="0"/>
              <w:kinsoku w:val="0"/>
              <w:wordWrap/>
              <w:overflowPunct w:val="0"/>
              <w:topLinePunct w:val="0"/>
              <w:autoSpaceDE w:val="0"/>
              <w:autoSpaceDN w:val="0"/>
              <w:bidi w:val="0"/>
              <w:adjustRightInd w:val="0"/>
              <w:snapToGrid w:val="0"/>
              <w:spacing w:before="62" w:line="219" w:lineRule="auto"/>
              <w:ind w:left="0" w:right="0" w:firstLine="0"/>
              <w:jc w:val="center"/>
              <w:textAlignment w:val="baseline"/>
              <w:rPr>
                <w:rFonts w:hint="default" w:ascii="Times New Roman" w:hAnsi="Times New Roman" w:eastAsia="宋体" w:cs="Times New Roman"/>
                <w:spacing w:val="-6"/>
                <w:sz w:val="19"/>
                <w:szCs w:val="19"/>
                <w:highlight w:val="none"/>
                <w:lang w:eastAsia="zh-CN"/>
              </w:rPr>
            </w:pPr>
            <w:r>
              <w:rPr>
                <w:rFonts w:hint="default" w:ascii="Times New Roman" w:hAnsi="Times New Roman" w:eastAsia="宋体" w:cs="Times New Roman"/>
                <w:spacing w:val="-6"/>
                <w:sz w:val="19"/>
                <w:szCs w:val="19"/>
                <w:highlight w:val="none"/>
              </w:rPr>
              <w:t>资产管理部门负责人</w:t>
            </w:r>
          </w:p>
          <w:p w14:paraId="07FD60A0">
            <w:pPr>
              <w:keepNext w:val="0"/>
              <w:keepLines w:val="0"/>
              <w:pageBreakBefore w:val="0"/>
              <w:widowControl w:val="0"/>
              <w:kinsoku w:val="0"/>
              <w:wordWrap/>
              <w:overflowPunct w:val="0"/>
              <w:topLinePunct w:val="0"/>
              <w:autoSpaceDE w:val="0"/>
              <w:autoSpaceDN w:val="0"/>
              <w:bidi w:val="0"/>
              <w:adjustRightInd w:val="0"/>
              <w:snapToGrid w:val="0"/>
              <w:spacing w:line="218" w:lineRule="auto"/>
              <w:ind w:left="0" w:right="0" w:firstLine="0"/>
              <w:jc w:val="center"/>
              <w:textAlignment w:val="baseline"/>
              <w:rPr>
                <w:rFonts w:hint="eastAsia" w:ascii="Times New Roman" w:hAnsi="Times New Roman" w:eastAsia="宋体" w:cs="Times New Roman"/>
                <w:spacing w:val="-6"/>
                <w:sz w:val="19"/>
                <w:szCs w:val="19"/>
                <w:highlight w:val="none"/>
                <w:lang w:eastAsia="zh-CN"/>
              </w:rPr>
            </w:pPr>
            <w:r>
              <w:rPr>
                <w:rFonts w:hint="eastAsia" w:ascii="Times New Roman" w:hAnsi="Times New Roman" w:eastAsia="宋体" w:cs="Times New Roman"/>
                <w:spacing w:val="-6"/>
                <w:sz w:val="19"/>
                <w:szCs w:val="19"/>
                <w:highlight w:val="none"/>
                <w:lang w:eastAsia="zh-CN"/>
              </w:rPr>
              <w:t>（</w:t>
            </w:r>
            <w:r>
              <w:rPr>
                <w:rFonts w:hint="default" w:ascii="Times New Roman" w:hAnsi="Times New Roman" w:eastAsia="宋体" w:cs="Times New Roman"/>
                <w:spacing w:val="-6"/>
                <w:sz w:val="19"/>
                <w:szCs w:val="19"/>
                <w:highlight w:val="none"/>
              </w:rPr>
              <w:t>签章</w:t>
            </w:r>
            <w:r>
              <w:rPr>
                <w:rFonts w:hint="eastAsia" w:ascii="Times New Roman" w:hAnsi="Times New Roman" w:eastAsia="宋体" w:cs="Times New Roman"/>
                <w:spacing w:val="-6"/>
                <w:sz w:val="19"/>
                <w:szCs w:val="19"/>
                <w:highlight w:val="none"/>
                <w:lang w:eastAsia="zh-CN"/>
              </w:rPr>
              <w:t>）</w:t>
            </w:r>
          </w:p>
        </w:tc>
        <w:tc>
          <w:tcPr>
            <w:tcW w:w="1751" w:type="dxa"/>
            <w:gridSpan w:val="3"/>
            <w:vMerge w:val="restart"/>
            <w:vAlign w:val="top"/>
          </w:tcPr>
          <w:p w14:paraId="27B27AA9">
            <w:pPr>
              <w:pStyle w:val="9"/>
              <w:keepNext w:val="0"/>
              <w:keepLines w:val="0"/>
              <w:pageBreakBefore w:val="0"/>
              <w:widowControl w:val="0"/>
              <w:kinsoku w:val="0"/>
              <w:wordWrap/>
              <w:overflowPunct w:val="0"/>
              <w:topLinePunct w:val="0"/>
              <w:autoSpaceDE w:val="0"/>
              <w:autoSpaceDN w:val="0"/>
              <w:bidi w:val="0"/>
              <w:adjustRightInd w:val="0"/>
              <w:snapToGrid w:val="0"/>
              <w:spacing w:line="265" w:lineRule="auto"/>
              <w:ind w:left="0" w:right="0" w:firstLine="0"/>
              <w:jc w:val="center"/>
              <w:textAlignment w:val="baseline"/>
              <w:rPr>
                <w:rFonts w:hint="default" w:ascii="Times New Roman" w:hAnsi="Times New Roman" w:cs="Times New Roman"/>
                <w:spacing w:val="-6"/>
                <w:highlight w:val="none"/>
              </w:rPr>
            </w:pPr>
          </w:p>
          <w:p w14:paraId="737CACD3">
            <w:pPr>
              <w:pStyle w:val="9"/>
              <w:keepNext w:val="0"/>
              <w:keepLines w:val="0"/>
              <w:pageBreakBefore w:val="0"/>
              <w:widowControl w:val="0"/>
              <w:kinsoku w:val="0"/>
              <w:wordWrap/>
              <w:overflowPunct w:val="0"/>
              <w:topLinePunct w:val="0"/>
              <w:autoSpaceDE w:val="0"/>
              <w:autoSpaceDN w:val="0"/>
              <w:bidi w:val="0"/>
              <w:adjustRightInd w:val="0"/>
              <w:snapToGrid w:val="0"/>
              <w:spacing w:line="265" w:lineRule="auto"/>
              <w:ind w:left="0" w:right="0" w:firstLine="0"/>
              <w:jc w:val="center"/>
              <w:textAlignment w:val="baseline"/>
              <w:rPr>
                <w:rFonts w:hint="default" w:ascii="Times New Roman" w:hAnsi="Times New Roman" w:cs="Times New Roman"/>
                <w:spacing w:val="-6"/>
                <w:highlight w:val="none"/>
              </w:rPr>
            </w:pPr>
          </w:p>
          <w:p w14:paraId="45F22499">
            <w:pPr>
              <w:pStyle w:val="9"/>
              <w:keepNext w:val="0"/>
              <w:keepLines w:val="0"/>
              <w:pageBreakBefore w:val="0"/>
              <w:widowControl w:val="0"/>
              <w:kinsoku w:val="0"/>
              <w:wordWrap/>
              <w:overflowPunct w:val="0"/>
              <w:topLinePunct w:val="0"/>
              <w:autoSpaceDE w:val="0"/>
              <w:autoSpaceDN w:val="0"/>
              <w:bidi w:val="0"/>
              <w:adjustRightInd w:val="0"/>
              <w:snapToGrid w:val="0"/>
              <w:spacing w:line="265" w:lineRule="auto"/>
              <w:ind w:left="0" w:right="0" w:firstLine="0"/>
              <w:jc w:val="center"/>
              <w:textAlignment w:val="baseline"/>
              <w:rPr>
                <w:rFonts w:hint="default" w:ascii="Times New Roman" w:hAnsi="Times New Roman" w:cs="Times New Roman"/>
                <w:spacing w:val="-6"/>
                <w:highlight w:val="none"/>
              </w:rPr>
            </w:pPr>
          </w:p>
          <w:p w14:paraId="4BB506BC">
            <w:pPr>
              <w:pStyle w:val="9"/>
              <w:keepNext w:val="0"/>
              <w:keepLines w:val="0"/>
              <w:pageBreakBefore w:val="0"/>
              <w:widowControl w:val="0"/>
              <w:kinsoku w:val="0"/>
              <w:wordWrap/>
              <w:overflowPunct w:val="0"/>
              <w:topLinePunct w:val="0"/>
              <w:autoSpaceDE w:val="0"/>
              <w:autoSpaceDN w:val="0"/>
              <w:bidi w:val="0"/>
              <w:adjustRightInd w:val="0"/>
              <w:snapToGrid w:val="0"/>
              <w:spacing w:line="265" w:lineRule="auto"/>
              <w:ind w:left="0" w:right="0" w:firstLine="0"/>
              <w:jc w:val="center"/>
              <w:textAlignment w:val="baseline"/>
              <w:rPr>
                <w:rFonts w:hint="default" w:ascii="Times New Roman" w:hAnsi="Times New Roman" w:cs="Times New Roman"/>
                <w:spacing w:val="-6"/>
                <w:highlight w:val="none"/>
              </w:rPr>
            </w:pPr>
          </w:p>
          <w:p w14:paraId="1430290B">
            <w:pPr>
              <w:pStyle w:val="9"/>
              <w:keepNext w:val="0"/>
              <w:keepLines w:val="0"/>
              <w:pageBreakBefore w:val="0"/>
              <w:widowControl w:val="0"/>
              <w:kinsoku w:val="0"/>
              <w:wordWrap/>
              <w:overflowPunct w:val="0"/>
              <w:topLinePunct w:val="0"/>
              <w:autoSpaceDE w:val="0"/>
              <w:autoSpaceDN w:val="0"/>
              <w:bidi w:val="0"/>
              <w:adjustRightInd w:val="0"/>
              <w:snapToGrid w:val="0"/>
              <w:spacing w:line="266" w:lineRule="auto"/>
              <w:ind w:left="0" w:right="0" w:firstLine="0"/>
              <w:jc w:val="center"/>
              <w:textAlignment w:val="baseline"/>
              <w:rPr>
                <w:rFonts w:hint="default" w:ascii="Times New Roman" w:hAnsi="Times New Roman" w:cs="Times New Roman"/>
                <w:spacing w:val="-6"/>
                <w:highlight w:val="none"/>
              </w:rPr>
            </w:pPr>
          </w:p>
          <w:p w14:paraId="3C7AD838">
            <w:pPr>
              <w:pStyle w:val="9"/>
              <w:keepNext w:val="0"/>
              <w:keepLines w:val="0"/>
              <w:pageBreakBefore w:val="0"/>
              <w:widowControl w:val="0"/>
              <w:kinsoku w:val="0"/>
              <w:wordWrap/>
              <w:overflowPunct w:val="0"/>
              <w:topLinePunct w:val="0"/>
              <w:autoSpaceDE w:val="0"/>
              <w:autoSpaceDN w:val="0"/>
              <w:bidi w:val="0"/>
              <w:adjustRightInd w:val="0"/>
              <w:snapToGrid w:val="0"/>
              <w:spacing w:line="266" w:lineRule="auto"/>
              <w:ind w:left="0" w:right="0" w:firstLine="0"/>
              <w:jc w:val="center"/>
              <w:textAlignment w:val="baseline"/>
              <w:rPr>
                <w:rFonts w:hint="default" w:ascii="Times New Roman" w:hAnsi="Times New Roman" w:cs="Times New Roman"/>
                <w:spacing w:val="-6"/>
                <w:highlight w:val="none"/>
              </w:rPr>
            </w:pPr>
          </w:p>
          <w:p w14:paraId="64D823D9">
            <w:pPr>
              <w:keepNext w:val="0"/>
              <w:keepLines w:val="0"/>
              <w:pageBreakBefore w:val="0"/>
              <w:widowControl w:val="0"/>
              <w:kinsoku w:val="0"/>
              <w:wordWrap/>
              <w:overflowPunct w:val="0"/>
              <w:topLinePunct w:val="0"/>
              <w:autoSpaceDE w:val="0"/>
              <w:autoSpaceDN w:val="0"/>
              <w:bidi w:val="0"/>
              <w:adjustRightInd w:val="0"/>
              <w:snapToGrid w:val="0"/>
              <w:spacing w:before="62" w:line="219"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 xml:space="preserve">年 </w:t>
            </w:r>
            <w:r>
              <w:rPr>
                <w:rFonts w:hint="default" w:ascii="Times New Roman" w:hAnsi="Times New Roman" w:eastAsia="宋体" w:cs="Times New Roman"/>
                <w:spacing w:val="-6"/>
                <w:sz w:val="19"/>
                <w:szCs w:val="19"/>
                <w:highlight w:val="none"/>
                <w:lang w:val="en-US" w:eastAsia="zh-CN"/>
              </w:rPr>
              <w:t xml:space="preserve">   </w:t>
            </w:r>
            <w:r>
              <w:rPr>
                <w:rFonts w:hint="default" w:ascii="Times New Roman" w:hAnsi="Times New Roman" w:eastAsia="宋体" w:cs="Times New Roman"/>
                <w:spacing w:val="-6"/>
                <w:sz w:val="19"/>
                <w:szCs w:val="19"/>
                <w:highlight w:val="none"/>
              </w:rPr>
              <w:t>月     日</w:t>
            </w:r>
          </w:p>
        </w:tc>
        <w:tc>
          <w:tcPr>
            <w:tcW w:w="1256" w:type="dxa"/>
            <w:vMerge w:val="restart"/>
            <w:vAlign w:val="top"/>
          </w:tcPr>
          <w:p w14:paraId="7477ECBC">
            <w:pPr>
              <w:pStyle w:val="9"/>
              <w:keepNext w:val="0"/>
              <w:keepLines w:val="0"/>
              <w:pageBreakBefore w:val="0"/>
              <w:widowControl w:val="0"/>
              <w:kinsoku w:val="0"/>
              <w:wordWrap/>
              <w:overflowPunct w:val="0"/>
              <w:topLinePunct w:val="0"/>
              <w:autoSpaceDE w:val="0"/>
              <w:autoSpaceDN w:val="0"/>
              <w:bidi w:val="0"/>
              <w:adjustRightInd w:val="0"/>
              <w:snapToGrid w:val="0"/>
              <w:spacing w:line="299" w:lineRule="auto"/>
              <w:ind w:left="0" w:right="0" w:firstLine="0"/>
              <w:jc w:val="center"/>
              <w:textAlignment w:val="baseline"/>
              <w:rPr>
                <w:rFonts w:hint="default" w:ascii="Times New Roman" w:hAnsi="Times New Roman" w:cs="Times New Roman"/>
                <w:spacing w:val="-6"/>
                <w:highlight w:val="none"/>
              </w:rPr>
            </w:pPr>
          </w:p>
          <w:p w14:paraId="06617A5F">
            <w:pPr>
              <w:pStyle w:val="9"/>
              <w:keepNext w:val="0"/>
              <w:keepLines w:val="0"/>
              <w:pageBreakBefore w:val="0"/>
              <w:widowControl w:val="0"/>
              <w:kinsoku w:val="0"/>
              <w:wordWrap/>
              <w:overflowPunct w:val="0"/>
              <w:topLinePunct w:val="0"/>
              <w:autoSpaceDE w:val="0"/>
              <w:autoSpaceDN w:val="0"/>
              <w:bidi w:val="0"/>
              <w:adjustRightInd w:val="0"/>
              <w:snapToGrid w:val="0"/>
              <w:spacing w:line="299" w:lineRule="auto"/>
              <w:ind w:left="0" w:right="0" w:firstLine="0"/>
              <w:jc w:val="center"/>
              <w:textAlignment w:val="baseline"/>
              <w:rPr>
                <w:rFonts w:hint="default" w:ascii="Times New Roman" w:hAnsi="Times New Roman" w:cs="Times New Roman"/>
                <w:spacing w:val="-6"/>
                <w:highlight w:val="none"/>
              </w:rPr>
            </w:pPr>
          </w:p>
          <w:p w14:paraId="7FA45F16">
            <w:pPr>
              <w:keepNext w:val="0"/>
              <w:keepLines w:val="0"/>
              <w:pageBreakBefore w:val="0"/>
              <w:widowControl w:val="0"/>
              <w:kinsoku w:val="0"/>
              <w:wordWrap/>
              <w:overflowPunct w:val="0"/>
              <w:topLinePunct w:val="0"/>
              <w:autoSpaceDE w:val="0"/>
              <w:autoSpaceDN w:val="0"/>
              <w:bidi w:val="0"/>
              <w:adjustRightInd w:val="0"/>
              <w:snapToGrid w:val="0"/>
              <w:spacing w:before="62" w:line="228"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 xml:space="preserve">单位负责人 </w:t>
            </w:r>
          </w:p>
          <w:p w14:paraId="5DDC737E">
            <w:pPr>
              <w:keepNext w:val="0"/>
              <w:keepLines w:val="0"/>
              <w:pageBreakBefore w:val="0"/>
              <w:widowControl w:val="0"/>
              <w:kinsoku w:val="0"/>
              <w:wordWrap/>
              <w:overflowPunct w:val="0"/>
              <w:topLinePunct w:val="0"/>
              <w:autoSpaceDE w:val="0"/>
              <w:autoSpaceDN w:val="0"/>
              <w:bidi w:val="0"/>
              <w:adjustRightInd w:val="0"/>
              <w:snapToGrid w:val="0"/>
              <w:spacing w:before="62" w:line="228" w:lineRule="auto"/>
              <w:ind w:left="0" w:right="0" w:firstLine="0"/>
              <w:jc w:val="center"/>
              <w:textAlignment w:val="baseline"/>
              <w:rPr>
                <w:rFonts w:hint="eastAsia" w:ascii="Times New Roman" w:hAnsi="Times New Roman" w:eastAsia="宋体" w:cs="Times New Roman"/>
                <w:spacing w:val="-6"/>
                <w:sz w:val="19"/>
                <w:szCs w:val="19"/>
                <w:highlight w:val="none"/>
                <w:lang w:eastAsia="zh-CN"/>
              </w:rPr>
            </w:pPr>
            <w:r>
              <w:rPr>
                <w:rFonts w:hint="eastAsia" w:ascii="Times New Roman" w:hAnsi="Times New Roman" w:eastAsia="宋体" w:cs="Times New Roman"/>
                <w:spacing w:val="-6"/>
                <w:sz w:val="19"/>
                <w:szCs w:val="19"/>
                <w:highlight w:val="none"/>
                <w:lang w:eastAsia="zh-CN"/>
              </w:rPr>
              <w:t>（</w:t>
            </w:r>
            <w:r>
              <w:rPr>
                <w:rFonts w:hint="default" w:ascii="Times New Roman" w:hAnsi="Times New Roman" w:eastAsia="宋体" w:cs="Times New Roman"/>
                <w:spacing w:val="-6"/>
                <w:sz w:val="19"/>
                <w:szCs w:val="19"/>
                <w:highlight w:val="none"/>
              </w:rPr>
              <w:t>签章</w:t>
            </w:r>
            <w:r>
              <w:rPr>
                <w:rFonts w:hint="eastAsia" w:ascii="Times New Roman" w:hAnsi="Times New Roman" w:eastAsia="宋体" w:cs="Times New Roman"/>
                <w:spacing w:val="-6"/>
                <w:sz w:val="19"/>
                <w:szCs w:val="19"/>
                <w:highlight w:val="none"/>
                <w:lang w:eastAsia="zh-CN"/>
              </w:rPr>
              <w:t>）</w:t>
            </w:r>
          </w:p>
        </w:tc>
        <w:tc>
          <w:tcPr>
            <w:tcW w:w="2579" w:type="dxa"/>
            <w:gridSpan w:val="3"/>
            <w:vMerge w:val="restart"/>
            <w:vAlign w:val="top"/>
          </w:tcPr>
          <w:p w14:paraId="23084714">
            <w:pPr>
              <w:pStyle w:val="9"/>
              <w:keepNext w:val="0"/>
              <w:keepLines w:val="0"/>
              <w:pageBreakBefore w:val="0"/>
              <w:widowControl w:val="0"/>
              <w:kinsoku w:val="0"/>
              <w:wordWrap/>
              <w:overflowPunct w:val="0"/>
              <w:topLinePunct w:val="0"/>
              <w:autoSpaceDE w:val="0"/>
              <w:autoSpaceDN w:val="0"/>
              <w:bidi w:val="0"/>
              <w:adjustRightInd w:val="0"/>
              <w:snapToGrid w:val="0"/>
              <w:spacing w:line="268" w:lineRule="auto"/>
              <w:ind w:left="0" w:right="0" w:firstLine="0"/>
              <w:jc w:val="center"/>
              <w:textAlignment w:val="baseline"/>
              <w:rPr>
                <w:rFonts w:hint="default" w:ascii="Times New Roman" w:hAnsi="Times New Roman" w:cs="Times New Roman"/>
                <w:spacing w:val="-6"/>
                <w:highlight w:val="none"/>
              </w:rPr>
            </w:pPr>
          </w:p>
          <w:p w14:paraId="0CA13B61">
            <w:pPr>
              <w:pStyle w:val="9"/>
              <w:keepNext w:val="0"/>
              <w:keepLines w:val="0"/>
              <w:pageBreakBefore w:val="0"/>
              <w:widowControl w:val="0"/>
              <w:kinsoku w:val="0"/>
              <w:wordWrap/>
              <w:overflowPunct w:val="0"/>
              <w:topLinePunct w:val="0"/>
              <w:autoSpaceDE w:val="0"/>
              <w:autoSpaceDN w:val="0"/>
              <w:bidi w:val="0"/>
              <w:adjustRightInd w:val="0"/>
              <w:snapToGrid w:val="0"/>
              <w:spacing w:line="268" w:lineRule="auto"/>
              <w:ind w:left="0" w:right="0" w:firstLine="0"/>
              <w:jc w:val="center"/>
              <w:textAlignment w:val="baseline"/>
              <w:rPr>
                <w:rFonts w:hint="default" w:ascii="Times New Roman" w:hAnsi="Times New Roman" w:cs="Times New Roman"/>
                <w:spacing w:val="-6"/>
                <w:highlight w:val="none"/>
              </w:rPr>
            </w:pPr>
          </w:p>
          <w:p w14:paraId="2916275E">
            <w:pPr>
              <w:pStyle w:val="9"/>
              <w:keepNext w:val="0"/>
              <w:keepLines w:val="0"/>
              <w:pageBreakBefore w:val="0"/>
              <w:widowControl w:val="0"/>
              <w:kinsoku w:val="0"/>
              <w:wordWrap/>
              <w:overflowPunct w:val="0"/>
              <w:topLinePunct w:val="0"/>
              <w:autoSpaceDE w:val="0"/>
              <w:autoSpaceDN w:val="0"/>
              <w:bidi w:val="0"/>
              <w:adjustRightInd w:val="0"/>
              <w:snapToGrid w:val="0"/>
              <w:spacing w:line="269" w:lineRule="auto"/>
              <w:ind w:left="0" w:right="0" w:firstLine="0"/>
              <w:jc w:val="center"/>
              <w:textAlignment w:val="baseline"/>
              <w:rPr>
                <w:rFonts w:hint="default" w:ascii="Times New Roman" w:hAnsi="Times New Roman" w:cs="Times New Roman"/>
                <w:spacing w:val="-6"/>
                <w:highlight w:val="none"/>
              </w:rPr>
            </w:pPr>
          </w:p>
          <w:p w14:paraId="70F341EB">
            <w:pPr>
              <w:pStyle w:val="9"/>
              <w:keepNext w:val="0"/>
              <w:keepLines w:val="0"/>
              <w:pageBreakBefore w:val="0"/>
              <w:widowControl w:val="0"/>
              <w:kinsoku w:val="0"/>
              <w:wordWrap/>
              <w:overflowPunct w:val="0"/>
              <w:topLinePunct w:val="0"/>
              <w:autoSpaceDE w:val="0"/>
              <w:autoSpaceDN w:val="0"/>
              <w:bidi w:val="0"/>
              <w:adjustRightInd w:val="0"/>
              <w:snapToGrid w:val="0"/>
              <w:spacing w:line="269" w:lineRule="auto"/>
              <w:ind w:left="0" w:right="0" w:firstLine="0"/>
              <w:jc w:val="center"/>
              <w:textAlignment w:val="baseline"/>
              <w:rPr>
                <w:rFonts w:hint="default" w:ascii="Times New Roman" w:hAnsi="Times New Roman" w:cs="Times New Roman"/>
                <w:spacing w:val="-6"/>
                <w:highlight w:val="none"/>
              </w:rPr>
            </w:pPr>
          </w:p>
          <w:p w14:paraId="6BB04210">
            <w:pPr>
              <w:pStyle w:val="9"/>
              <w:keepNext w:val="0"/>
              <w:keepLines w:val="0"/>
              <w:pageBreakBefore w:val="0"/>
              <w:widowControl w:val="0"/>
              <w:kinsoku w:val="0"/>
              <w:wordWrap/>
              <w:overflowPunct w:val="0"/>
              <w:topLinePunct w:val="0"/>
              <w:autoSpaceDE w:val="0"/>
              <w:autoSpaceDN w:val="0"/>
              <w:bidi w:val="0"/>
              <w:adjustRightInd w:val="0"/>
              <w:snapToGrid w:val="0"/>
              <w:spacing w:line="269" w:lineRule="auto"/>
              <w:ind w:left="0" w:right="0" w:firstLine="0"/>
              <w:jc w:val="center"/>
              <w:textAlignment w:val="baseline"/>
              <w:rPr>
                <w:rFonts w:hint="default" w:ascii="Times New Roman" w:hAnsi="Times New Roman" w:cs="Times New Roman"/>
                <w:spacing w:val="-6"/>
                <w:highlight w:val="none"/>
              </w:rPr>
            </w:pPr>
          </w:p>
          <w:p w14:paraId="69F96C1C">
            <w:pPr>
              <w:pStyle w:val="9"/>
              <w:keepNext w:val="0"/>
              <w:keepLines w:val="0"/>
              <w:pageBreakBefore w:val="0"/>
              <w:widowControl w:val="0"/>
              <w:kinsoku w:val="0"/>
              <w:wordWrap/>
              <w:overflowPunct w:val="0"/>
              <w:topLinePunct w:val="0"/>
              <w:autoSpaceDE w:val="0"/>
              <w:autoSpaceDN w:val="0"/>
              <w:bidi w:val="0"/>
              <w:adjustRightInd w:val="0"/>
              <w:snapToGrid w:val="0"/>
              <w:spacing w:line="269" w:lineRule="auto"/>
              <w:ind w:left="0" w:right="0" w:firstLine="0"/>
              <w:jc w:val="center"/>
              <w:textAlignment w:val="baseline"/>
              <w:rPr>
                <w:rFonts w:hint="default" w:ascii="Times New Roman" w:hAnsi="Times New Roman" w:cs="Times New Roman"/>
                <w:spacing w:val="-6"/>
                <w:highlight w:val="none"/>
              </w:rPr>
            </w:pPr>
          </w:p>
          <w:p w14:paraId="6280DA3D">
            <w:pPr>
              <w:keepNext w:val="0"/>
              <w:keepLines w:val="0"/>
              <w:pageBreakBefore w:val="0"/>
              <w:widowControl w:val="0"/>
              <w:kinsoku w:val="0"/>
              <w:wordWrap/>
              <w:overflowPunct w:val="0"/>
              <w:topLinePunct w:val="0"/>
              <w:autoSpaceDE w:val="0"/>
              <w:autoSpaceDN w:val="0"/>
              <w:bidi w:val="0"/>
              <w:adjustRightInd w:val="0"/>
              <w:snapToGrid w:val="0"/>
              <w:spacing w:before="61" w:line="219"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年    月     日</w:t>
            </w:r>
          </w:p>
        </w:tc>
        <w:tc>
          <w:tcPr>
            <w:tcW w:w="471" w:type="dxa"/>
            <w:vMerge w:val="restart"/>
            <w:textDirection w:val="tbRlV"/>
            <w:vAlign w:val="center"/>
          </w:tcPr>
          <w:p w14:paraId="439BAB81">
            <w:pPr>
              <w:keepNext w:val="0"/>
              <w:keepLines w:val="0"/>
              <w:pageBreakBefore w:val="0"/>
              <w:widowControl w:val="0"/>
              <w:kinsoku w:val="0"/>
              <w:wordWrap/>
              <w:overflowPunct w:val="0"/>
              <w:topLinePunct w:val="0"/>
              <w:autoSpaceDE w:val="0"/>
              <w:autoSpaceDN w:val="0"/>
              <w:bidi w:val="0"/>
              <w:adjustRightInd w:val="0"/>
              <w:snapToGrid w:val="0"/>
              <w:spacing w:line="202"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接收方</w:t>
            </w:r>
          </w:p>
        </w:tc>
        <w:tc>
          <w:tcPr>
            <w:tcW w:w="1151" w:type="dxa"/>
            <w:vMerge w:val="restart"/>
            <w:vAlign w:val="top"/>
          </w:tcPr>
          <w:p w14:paraId="26D6405D">
            <w:pPr>
              <w:pStyle w:val="9"/>
              <w:keepNext w:val="0"/>
              <w:keepLines w:val="0"/>
              <w:pageBreakBefore w:val="0"/>
              <w:widowControl w:val="0"/>
              <w:kinsoku w:val="0"/>
              <w:wordWrap/>
              <w:overflowPunct w:val="0"/>
              <w:topLinePunct w:val="0"/>
              <w:autoSpaceDE w:val="0"/>
              <w:autoSpaceDN w:val="0"/>
              <w:bidi w:val="0"/>
              <w:adjustRightInd w:val="0"/>
              <w:snapToGrid w:val="0"/>
              <w:spacing w:line="303" w:lineRule="auto"/>
              <w:ind w:left="0" w:right="0" w:firstLine="0"/>
              <w:jc w:val="center"/>
              <w:textAlignment w:val="baseline"/>
              <w:rPr>
                <w:rFonts w:hint="default" w:ascii="Times New Roman" w:hAnsi="Times New Roman" w:cs="Times New Roman"/>
                <w:spacing w:val="-6"/>
                <w:highlight w:val="none"/>
              </w:rPr>
            </w:pPr>
          </w:p>
          <w:p w14:paraId="6DD5A9CB">
            <w:pPr>
              <w:pStyle w:val="9"/>
              <w:keepNext w:val="0"/>
              <w:keepLines w:val="0"/>
              <w:pageBreakBefore w:val="0"/>
              <w:widowControl w:val="0"/>
              <w:kinsoku w:val="0"/>
              <w:wordWrap/>
              <w:overflowPunct w:val="0"/>
              <w:topLinePunct w:val="0"/>
              <w:autoSpaceDE w:val="0"/>
              <w:autoSpaceDN w:val="0"/>
              <w:bidi w:val="0"/>
              <w:adjustRightInd w:val="0"/>
              <w:snapToGrid w:val="0"/>
              <w:spacing w:line="304" w:lineRule="auto"/>
              <w:ind w:left="0" w:right="0" w:firstLine="0"/>
              <w:jc w:val="center"/>
              <w:textAlignment w:val="baseline"/>
              <w:rPr>
                <w:rFonts w:hint="default" w:ascii="Times New Roman" w:hAnsi="Times New Roman" w:cs="Times New Roman"/>
                <w:spacing w:val="-6"/>
                <w:highlight w:val="none"/>
              </w:rPr>
            </w:pPr>
          </w:p>
          <w:p w14:paraId="5420C4C7">
            <w:pPr>
              <w:keepNext w:val="0"/>
              <w:keepLines w:val="0"/>
              <w:pageBreakBefore w:val="0"/>
              <w:widowControl w:val="0"/>
              <w:kinsoku w:val="0"/>
              <w:wordWrap/>
              <w:overflowPunct w:val="0"/>
              <w:topLinePunct w:val="0"/>
              <w:autoSpaceDE w:val="0"/>
              <w:autoSpaceDN w:val="0"/>
              <w:bidi w:val="0"/>
              <w:adjustRightInd w:val="0"/>
              <w:snapToGrid w:val="0"/>
              <w:spacing w:before="62" w:line="214"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资产管理部</w:t>
            </w:r>
          </w:p>
          <w:p w14:paraId="2A46E132">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门负责人</w:t>
            </w:r>
          </w:p>
          <w:p w14:paraId="1BA2888F">
            <w:pPr>
              <w:keepNext w:val="0"/>
              <w:keepLines w:val="0"/>
              <w:pageBreakBefore w:val="0"/>
              <w:widowControl w:val="0"/>
              <w:kinsoku w:val="0"/>
              <w:wordWrap/>
              <w:overflowPunct w:val="0"/>
              <w:topLinePunct w:val="0"/>
              <w:autoSpaceDE w:val="0"/>
              <w:autoSpaceDN w:val="0"/>
              <w:bidi w:val="0"/>
              <w:adjustRightInd w:val="0"/>
              <w:snapToGrid w:val="0"/>
              <w:spacing w:before="3" w:line="219" w:lineRule="auto"/>
              <w:ind w:left="0" w:right="0" w:firstLine="0"/>
              <w:jc w:val="center"/>
              <w:textAlignment w:val="baseline"/>
              <w:rPr>
                <w:rFonts w:hint="eastAsia" w:ascii="Times New Roman" w:hAnsi="Times New Roman" w:eastAsia="宋体" w:cs="Times New Roman"/>
                <w:spacing w:val="-6"/>
                <w:sz w:val="19"/>
                <w:szCs w:val="19"/>
                <w:highlight w:val="none"/>
                <w:lang w:eastAsia="zh-CN"/>
              </w:rPr>
            </w:pPr>
            <w:r>
              <w:rPr>
                <w:rFonts w:hint="eastAsia" w:ascii="Times New Roman" w:hAnsi="Times New Roman" w:eastAsia="宋体" w:cs="Times New Roman"/>
                <w:spacing w:val="-6"/>
                <w:sz w:val="19"/>
                <w:szCs w:val="19"/>
                <w:highlight w:val="none"/>
                <w:lang w:eastAsia="zh-CN"/>
              </w:rPr>
              <w:t>（</w:t>
            </w:r>
            <w:r>
              <w:rPr>
                <w:rFonts w:hint="default" w:ascii="Times New Roman" w:hAnsi="Times New Roman" w:eastAsia="宋体" w:cs="Times New Roman"/>
                <w:spacing w:val="-6"/>
                <w:sz w:val="19"/>
                <w:szCs w:val="19"/>
                <w:highlight w:val="none"/>
              </w:rPr>
              <w:t>签章</w:t>
            </w:r>
            <w:r>
              <w:rPr>
                <w:rFonts w:hint="eastAsia" w:ascii="Times New Roman" w:hAnsi="Times New Roman" w:eastAsia="宋体" w:cs="Times New Roman"/>
                <w:spacing w:val="-6"/>
                <w:sz w:val="19"/>
                <w:szCs w:val="19"/>
                <w:highlight w:val="none"/>
                <w:lang w:eastAsia="zh-CN"/>
              </w:rPr>
              <w:t>）</w:t>
            </w:r>
          </w:p>
        </w:tc>
        <w:tc>
          <w:tcPr>
            <w:tcW w:w="3479" w:type="dxa"/>
            <w:gridSpan w:val="3"/>
            <w:vMerge w:val="restart"/>
            <w:vAlign w:val="top"/>
          </w:tcPr>
          <w:p w14:paraId="78928B64">
            <w:pPr>
              <w:pStyle w:val="9"/>
              <w:keepNext w:val="0"/>
              <w:keepLines w:val="0"/>
              <w:pageBreakBefore w:val="0"/>
              <w:widowControl w:val="0"/>
              <w:kinsoku w:val="0"/>
              <w:wordWrap/>
              <w:overflowPunct w:val="0"/>
              <w:topLinePunct w:val="0"/>
              <w:autoSpaceDE w:val="0"/>
              <w:autoSpaceDN w:val="0"/>
              <w:bidi w:val="0"/>
              <w:adjustRightInd w:val="0"/>
              <w:snapToGrid w:val="0"/>
              <w:spacing w:line="265" w:lineRule="auto"/>
              <w:ind w:left="0" w:right="0" w:firstLine="0"/>
              <w:jc w:val="center"/>
              <w:textAlignment w:val="baseline"/>
              <w:rPr>
                <w:rFonts w:hint="default" w:ascii="Times New Roman" w:hAnsi="Times New Roman" w:cs="Times New Roman"/>
                <w:spacing w:val="-6"/>
                <w:highlight w:val="none"/>
              </w:rPr>
            </w:pPr>
          </w:p>
          <w:p w14:paraId="704E9658">
            <w:pPr>
              <w:pStyle w:val="9"/>
              <w:keepNext w:val="0"/>
              <w:keepLines w:val="0"/>
              <w:pageBreakBefore w:val="0"/>
              <w:widowControl w:val="0"/>
              <w:kinsoku w:val="0"/>
              <w:wordWrap/>
              <w:overflowPunct w:val="0"/>
              <w:topLinePunct w:val="0"/>
              <w:autoSpaceDE w:val="0"/>
              <w:autoSpaceDN w:val="0"/>
              <w:bidi w:val="0"/>
              <w:adjustRightInd w:val="0"/>
              <w:snapToGrid w:val="0"/>
              <w:spacing w:line="265" w:lineRule="auto"/>
              <w:ind w:left="0" w:right="0" w:firstLine="0"/>
              <w:jc w:val="center"/>
              <w:textAlignment w:val="baseline"/>
              <w:rPr>
                <w:rFonts w:hint="default" w:ascii="Times New Roman" w:hAnsi="Times New Roman" w:cs="Times New Roman"/>
                <w:spacing w:val="-6"/>
                <w:highlight w:val="none"/>
              </w:rPr>
            </w:pPr>
          </w:p>
          <w:p w14:paraId="5A037145">
            <w:pPr>
              <w:pStyle w:val="9"/>
              <w:keepNext w:val="0"/>
              <w:keepLines w:val="0"/>
              <w:pageBreakBefore w:val="0"/>
              <w:widowControl w:val="0"/>
              <w:kinsoku w:val="0"/>
              <w:wordWrap/>
              <w:overflowPunct w:val="0"/>
              <w:topLinePunct w:val="0"/>
              <w:autoSpaceDE w:val="0"/>
              <w:autoSpaceDN w:val="0"/>
              <w:bidi w:val="0"/>
              <w:adjustRightInd w:val="0"/>
              <w:snapToGrid w:val="0"/>
              <w:spacing w:line="265" w:lineRule="auto"/>
              <w:ind w:left="0" w:right="0" w:firstLine="0"/>
              <w:jc w:val="center"/>
              <w:textAlignment w:val="baseline"/>
              <w:rPr>
                <w:rFonts w:hint="default" w:ascii="Times New Roman" w:hAnsi="Times New Roman" w:cs="Times New Roman"/>
                <w:spacing w:val="-6"/>
                <w:highlight w:val="none"/>
              </w:rPr>
            </w:pPr>
          </w:p>
          <w:p w14:paraId="098A2419">
            <w:pPr>
              <w:pStyle w:val="9"/>
              <w:keepNext w:val="0"/>
              <w:keepLines w:val="0"/>
              <w:pageBreakBefore w:val="0"/>
              <w:widowControl w:val="0"/>
              <w:kinsoku w:val="0"/>
              <w:wordWrap/>
              <w:overflowPunct w:val="0"/>
              <w:topLinePunct w:val="0"/>
              <w:autoSpaceDE w:val="0"/>
              <w:autoSpaceDN w:val="0"/>
              <w:bidi w:val="0"/>
              <w:adjustRightInd w:val="0"/>
              <w:snapToGrid w:val="0"/>
              <w:spacing w:line="265" w:lineRule="auto"/>
              <w:ind w:left="0" w:right="0" w:firstLine="0"/>
              <w:jc w:val="center"/>
              <w:textAlignment w:val="baseline"/>
              <w:rPr>
                <w:rFonts w:hint="default" w:ascii="Times New Roman" w:hAnsi="Times New Roman" w:cs="Times New Roman"/>
                <w:spacing w:val="-6"/>
                <w:highlight w:val="none"/>
              </w:rPr>
            </w:pPr>
          </w:p>
          <w:p w14:paraId="3FB33AAB">
            <w:pPr>
              <w:pStyle w:val="9"/>
              <w:keepNext w:val="0"/>
              <w:keepLines w:val="0"/>
              <w:pageBreakBefore w:val="0"/>
              <w:widowControl w:val="0"/>
              <w:kinsoku w:val="0"/>
              <w:wordWrap/>
              <w:overflowPunct w:val="0"/>
              <w:topLinePunct w:val="0"/>
              <w:autoSpaceDE w:val="0"/>
              <w:autoSpaceDN w:val="0"/>
              <w:bidi w:val="0"/>
              <w:adjustRightInd w:val="0"/>
              <w:snapToGrid w:val="0"/>
              <w:spacing w:line="266" w:lineRule="auto"/>
              <w:ind w:left="0" w:right="0" w:firstLine="0"/>
              <w:jc w:val="center"/>
              <w:textAlignment w:val="baseline"/>
              <w:rPr>
                <w:rFonts w:hint="default" w:ascii="Times New Roman" w:hAnsi="Times New Roman" w:cs="Times New Roman"/>
                <w:spacing w:val="-6"/>
                <w:highlight w:val="none"/>
              </w:rPr>
            </w:pPr>
          </w:p>
          <w:p w14:paraId="55F67FC6">
            <w:pPr>
              <w:pStyle w:val="9"/>
              <w:keepNext w:val="0"/>
              <w:keepLines w:val="0"/>
              <w:pageBreakBefore w:val="0"/>
              <w:widowControl w:val="0"/>
              <w:kinsoku w:val="0"/>
              <w:wordWrap/>
              <w:overflowPunct w:val="0"/>
              <w:topLinePunct w:val="0"/>
              <w:autoSpaceDE w:val="0"/>
              <w:autoSpaceDN w:val="0"/>
              <w:bidi w:val="0"/>
              <w:adjustRightInd w:val="0"/>
              <w:snapToGrid w:val="0"/>
              <w:spacing w:line="266" w:lineRule="auto"/>
              <w:ind w:left="0" w:right="0" w:firstLine="0"/>
              <w:jc w:val="center"/>
              <w:textAlignment w:val="baseline"/>
              <w:rPr>
                <w:rFonts w:hint="default" w:ascii="Times New Roman" w:hAnsi="Times New Roman" w:cs="Times New Roman"/>
                <w:spacing w:val="-6"/>
                <w:highlight w:val="none"/>
              </w:rPr>
            </w:pPr>
          </w:p>
          <w:p w14:paraId="04B8F461">
            <w:pPr>
              <w:keepNext w:val="0"/>
              <w:keepLines w:val="0"/>
              <w:pageBreakBefore w:val="0"/>
              <w:widowControl w:val="0"/>
              <w:kinsoku w:val="0"/>
              <w:wordWrap/>
              <w:overflowPunct w:val="0"/>
              <w:topLinePunct w:val="0"/>
              <w:autoSpaceDE w:val="0"/>
              <w:autoSpaceDN w:val="0"/>
              <w:bidi w:val="0"/>
              <w:adjustRightInd w:val="0"/>
              <w:snapToGrid w:val="0"/>
              <w:spacing w:before="62" w:line="219"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年    月     日</w:t>
            </w:r>
          </w:p>
        </w:tc>
        <w:tc>
          <w:tcPr>
            <w:tcW w:w="1256" w:type="dxa"/>
            <w:vMerge w:val="restart"/>
            <w:vAlign w:val="top"/>
          </w:tcPr>
          <w:p w14:paraId="4C9A1249">
            <w:pPr>
              <w:pStyle w:val="9"/>
              <w:keepNext w:val="0"/>
              <w:keepLines w:val="0"/>
              <w:pageBreakBefore w:val="0"/>
              <w:widowControl w:val="0"/>
              <w:kinsoku w:val="0"/>
              <w:wordWrap/>
              <w:overflowPunct w:val="0"/>
              <w:topLinePunct w:val="0"/>
              <w:autoSpaceDE w:val="0"/>
              <w:autoSpaceDN w:val="0"/>
              <w:bidi w:val="0"/>
              <w:adjustRightInd w:val="0"/>
              <w:snapToGrid w:val="0"/>
              <w:spacing w:line="299" w:lineRule="auto"/>
              <w:ind w:left="0" w:right="0" w:firstLine="0"/>
              <w:jc w:val="center"/>
              <w:textAlignment w:val="baseline"/>
              <w:rPr>
                <w:rFonts w:hint="default" w:ascii="Times New Roman" w:hAnsi="Times New Roman" w:cs="Times New Roman"/>
                <w:spacing w:val="-6"/>
                <w:highlight w:val="none"/>
              </w:rPr>
            </w:pPr>
          </w:p>
          <w:p w14:paraId="5941A073">
            <w:pPr>
              <w:pStyle w:val="9"/>
              <w:keepNext w:val="0"/>
              <w:keepLines w:val="0"/>
              <w:pageBreakBefore w:val="0"/>
              <w:widowControl w:val="0"/>
              <w:kinsoku w:val="0"/>
              <w:wordWrap/>
              <w:overflowPunct w:val="0"/>
              <w:topLinePunct w:val="0"/>
              <w:autoSpaceDE w:val="0"/>
              <w:autoSpaceDN w:val="0"/>
              <w:bidi w:val="0"/>
              <w:adjustRightInd w:val="0"/>
              <w:snapToGrid w:val="0"/>
              <w:spacing w:line="300" w:lineRule="auto"/>
              <w:ind w:left="0" w:right="0" w:firstLine="0"/>
              <w:jc w:val="center"/>
              <w:textAlignment w:val="baseline"/>
              <w:rPr>
                <w:rFonts w:hint="default" w:ascii="Times New Roman" w:hAnsi="Times New Roman" w:cs="Times New Roman"/>
                <w:spacing w:val="-6"/>
                <w:highlight w:val="none"/>
              </w:rPr>
            </w:pPr>
          </w:p>
          <w:p w14:paraId="4AB6888D">
            <w:pPr>
              <w:keepNext w:val="0"/>
              <w:keepLines w:val="0"/>
              <w:pageBreakBefore w:val="0"/>
              <w:widowControl w:val="0"/>
              <w:kinsoku w:val="0"/>
              <w:wordWrap/>
              <w:overflowPunct w:val="0"/>
              <w:topLinePunct w:val="0"/>
              <w:autoSpaceDE w:val="0"/>
              <w:autoSpaceDN w:val="0"/>
              <w:bidi w:val="0"/>
              <w:adjustRightInd w:val="0"/>
              <w:snapToGrid w:val="0"/>
              <w:spacing w:before="62" w:line="218"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单位负责人</w:t>
            </w:r>
          </w:p>
          <w:p w14:paraId="2257582F">
            <w:pPr>
              <w:keepNext w:val="0"/>
              <w:keepLines w:val="0"/>
              <w:pageBreakBefore w:val="0"/>
              <w:widowControl w:val="0"/>
              <w:kinsoku w:val="0"/>
              <w:wordWrap/>
              <w:overflowPunct w:val="0"/>
              <w:topLinePunct w:val="0"/>
              <w:autoSpaceDE w:val="0"/>
              <w:autoSpaceDN w:val="0"/>
              <w:bidi w:val="0"/>
              <w:adjustRightInd w:val="0"/>
              <w:snapToGrid w:val="0"/>
              <w:spacing w:before="62" w:line="218" w:lineRule="auto"/>
              <w:ind w:left="0" w:right="0" w:firstLine="0"/>
              <w:jc w:val="center"/>
              <w:textAlignment w:val="baseline"/>
              <w:rPr>
                <w:rFonts w:hint="eastAsia" w:ascii="Times New Roman" w:hAnsi="Times New Roman" w:eastAsia="宋体" w:cs="Times New Roman"/>
                <w:spacing w:val="-6"/>
                <w:sz w:val="19"/>
                <w:szCs w:val="19"/>
                <w:highlight w:val="none"/>
                <w:lang w:eastAsia="zh-CN"/>
              </w:rPr>
            </w:pPr>
            <w:r>
              <w:rPr>
                <w:rFonts w:hint="eastAsia" w:ascii="Times New Roman" w:hAnsi="Times New Roman" w:eastAsia="宋体" w:cs="Times New Roman"/>
                <w:spacing w:val="-6"/>
                <w:sz w:val="19"/>
                <w:szCs w:val="19"/>
                <w:highlight w:val="none"/>
                <w:lang w:eastAsia="zh-CN"/>
              </w:rPr>
              <w:t>（</w:t>
            </w:r>
            <w:r>
              <w:rPr>
                <w:rFonts w:hint="default" w:ascii="Times New Roman" w:hAnsi="Times New Roman" w:eastAsia="宋体" w:cs="Times New Roman"/>
                <w:spacing w:val="-6"/>
                <w:sz w:val="19"/>
                <w:szCs w:val="19"/>
                <w:highlight w:val="none"/>
              </w:rPr>
              <w:t>签章</w:t>
            </w:r>
            <w:r>
              <w:rPr>
                <w:rFonts w:hint="eastAsia" w:ascii="Times New Roman" w:hAnsi="Times New Roman" w:eastAsia="宋体" w:cs="Times New Roman"/>
                <w:spacing w:val="-6"/>
                <w:sz w:val="19"/>
                <w:szCs w:val="19"/>
                <w:highlight w:val="none"/>
                <w:lang w:eastAsia="zh-CN"/>
              </w:rPr>
              <w:t>）</w:t>
            </w:r>
          </w:p>
        </w:tc>
        <w:tc>
          <w:tcPr>
            <w:tcW w:w="2045" w:type="dxa"/>
            <w:gridSpan w:val="3"/>
            <w:vMerge w:val="restart"/>
            <w:vAlign w:val="top"/>
          </w:tcPr>
          <w:p w14:paraId="6D6FA700">
            <w:pPr>
              <w:pStyle w:val="9"/>
              <w:keepNext w:val="0"/>
              <w:keepLines w:val="0"/>
              <w:pageBreakBefore w:val="0"/>
              <w:widowControl w:val="0"/>
              <w:kinsoku w:val="0"/>
              <w:wordWrap/>
              <w:overflowPunct w:val="0"/>
              <w:topLinePunct w:val="0"/>
              <w:autoSpaceDE w:val="0"/>
              <w:autoSpaceDN w:val="0"/>
              <w:bidi w:val="0"/>
              <w:adjustRightInd w:val="0"/>
              <w:snapToGrid w:val="0"/>
              <w:spacing w:line="270" w:lineRule="auto"/>
              <w:ind w:left="0" w:right="0" w:firstLine="0"/>
              <w:jc w:val="center"/>
              <w:textAlignment w:val="baseline"/>
              <w:rPr>
                <w:rFonts w:hint="default" w:ascii="Times New Roman" w:hAnsi="Times New Roman" w:cs="Times New Roman"/>
                <w:spacing w:val="-6"/>
                <w:highlight w:val="none"/>
              </w:rPr>
            </w:pPr>
          </w:p>
          <w:p w14:paraId="24817BAB">
            <w:pPr>
              <w:pStyle w:val="9"/>
              <w:keepNext w:val="0"/>
              <w:keepLines w:val="0"/>
              <w:pageBreakBefore w:val="0"/>
              <w:widowControl w:val="0"/>
              <w:kinsoku w:val="0"/>
              <w:wordWrap/>
              <w:overflowPunct w:val="0"/>
              <w:topLinePunct w:val="0"/>
              <w:autoSpaceDE w:val="0"/>
              <w:autoSpaceDN w:val="0"/>
              <w:bidi w:val="0"/>
              <w:adjustRightInd w:val="0"/>
              <w:snapToGrid w:val="0"/>
              <w:spacing w:line="270" w:lineRule="auto"/>
              <w:ind w:left="0" w:right="0" w:firstLine="0"/>
              <w:jc w:val="center"/>
              <w:textAlignment w:val="baseline"/>
              <w:rPr>
                <w:rFonts w:hint="default" w:ascii="Times New Roman" w:hAnsi="Times New Roman" w:cs="Times New Roman"/>
                <w:spacing w:val="-6"/>
                <w:highlight w:val="none"/>
              </w:rPr>
            </w:pPr>
          </w:p>
          <w:p w14:paraId="702338FD">
            <w:pPr>
              <w:pStyle w:val="9"/>
              <w:keepNext w:val="0"/>
              <w:keepLines w:val="0"/>
              <w:pageBreakBefore w:val="0"/>
              <w:widowControl w:val="0"/>
              <w:kinsoku w:val="0"/>
              <w:wordWrap/>
              <w:overflowPunct w:val="0"/>
              <w:topLinePunct w:val="0"/>
              <w:autoSpaceDE w:val="0"/>
              <w:autoSpaceDN w:val="0"/>
              <w:bidi w:val="0"/>
              <w:adjustRightInd w:val="0"/>
              <w:snapToGrid w:val="0"/>
              <w:spacing w:line="270" w:lineRule="auto"/>
              <w:ind w:left="0" w:right="0" w:firstLine="0"/>
              <w:jc w:val="center"/>
              <w:textAlignment w:val="baseline"/>
              <w:rPr>
                <w:rFonts w:hint="default" w:ascii="Times New Roman" w:hAnsi="Times New Roman" w:cs="Times New Roman"/>
                <w:spacing w:val="-6"/>
                <w:highlight w:val="none"/>
              </w:rPr>
            </w:pPr>
          </w:p>
          <w:p w14:paraId="68471393">
            <w:pPr>
              <w:pStyle w:val="9"/>
              <w:keepNext w:val="0"/>
              <w:keepLines w:val="0"/>
              <w:pageBreakBefore w:val="0"/>
              <w:widowControl w:val="0"/>
              <w:kinsoku w:val="0"/>
              <w:wordWrap/>
              <w:overflowPunct w:val="0"/>
              <w:topLinePunct w:val="0"/>
              <w:autoSpaceDE w:val="0"/>
              <w:autoSpaceDN w:val="0"/>
              <w:bidi w:val="0"/>
              <w:adjustRightInd w:val="0"/>
              <w:snapToGrid w:val="0"/>
              <w:spacing w:line="270" w:lineRule="auto"/>
              <w:ind w:left="0" w:right="0" w:firstLine="0"/>
              <w:jc w:val="center"/>
              <w:textAlignment w:val="baseline"/>
              <w:rPr>
                <w:rFonts w:hint="default" w:ascii="Times New Roman" w:hAnsi="Times New Roman" w:cs="Times New Roman"/>
                <w:spacing w:val="-6"/>
                <w:highlight w:val="none"/>
              </w:rPr>
            </w:pPr>
          </w:p>
          <w:p w14:paraId="105B7FB2">
            <w:pPr>
              <w:pStyle w:val="9"/>
              <w:keepNext w:val="0"/>
              <w:keepLines w:val="0"/>
              <w:pageBreakBefore w:val="0"/>
              <w:widowControl w:val="0"/>
              <w:kinsoku w:val="0"/>
              <w:wordWrap/>
              <w:overflowPunct w:val="0"/>
              <w:topLinePunct w:val="0"/>
              <w:autoSpaceDE w:val="0"/>
              <w:autoSpaceDN w:val="0"/>
              <w:bidi w:val="0"/>
              <w:adjustRightInd w:val="0"/>
              <w:snapToGrid w:val="0"/>
              <w:spacing w:line="271" w:lineRule="auto"/>
              <w:ind w:left="0" w:right="0" w:firstLine="0"/>
              <w:jc w:val="center"/>
              <w:textAlignment w:val="baseline"/>
              <w:rPr>
                <w:rFonts w:hint="default" w:ascii="Times New Roman" w:hAnsi="Times New Roman" w:cs="Times New Roman"/>
                <w:spacing w:val="-6"/>
                <w:highlight w:val="none"/>
              </w:rPr>
            </w:pPr>
          </w:p>
          <w:p w14:paraId="2E2817EE">
            <w:pPr>
              <w:pStyle w:val="9"/>
              <w:keepNext w:val="0"/>
              <w:keepLines w:val="0"/>
              <w:pageBreakBefore w:val="0"/>
              <w:widowControl w:val="0"/>
              <w:kinsoku w:val="0"/>
              <w:wordWrap/>
              <w:overflowPunct w:val="0"/>
              <w:topLinePunct w:val="0"/>
              <w:autoSpaceDE w:val="0"/>
              <w:autoSpaceDN w:val="0"/>
              <w:bidi w:val="0"/>
              <w:adjustRightInd w:val="0"/>
              <w:snapToGrid w:val="0"/>
              <w:spacing w:line="271" w:lineRule="auto"/>
              <w:ind w:left="0" w:right="0" w:firstLine="0"/>
              <w:jc w:val="center"/>
              <w:textAlignment w:val="baseline"/>
              <w:rPr>
                <w:rFonts w:hint="default" w:ascii="Times New Roman" w:hAnsi="Times New Roman" w:cs="Times New Roman"/>
                <w:spacing w:val="-6"/>
                <w:highlight w:val="none"/>
              </w:rPr>
            </w:pPr>
          </w:p>
          <w:p w14:paraId="44DA68E6">
            <w:pPr>
              <w:keepNext w:val="0"/>
              <w:keepLines w:val="0"/>
              <w:pageBreakBefore w:val="0"/>
              <w:widowControl w:val="0"/>
              <w:kinsoku w:val="0"/>
              <w:wordWrap/>
              <w:overflowPunct w:val="0"/>
              <w:topLinePunct w:val="0"/>
              <w:autoSpaceDE w:val="0"/>
              <w:autoSpaceDN w:val="0"/>
              <w:bidi w:val="0"/>
              <w:adjustRightInd w:val="0"/>
              <w:snapToGrid w:val="0"/>
              <w:spacing w:before="61" w:line="207" w:lineRule="auto"/>
              <w:ind w:left="0" w:right="0" w:firstLine="0"/>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position w:val="-1"/>
                <w:sz w:val="19"/>
                <w:szCs w:val="19"/>
                <w:highlight w:val="none"/>
              </w:rPr>
              <w:t xml:space="preserve">年    </w:t>
            </w:r>
            <w:r>
              <w:rPr>
                <w:rFonts w:hint="default" w:ascii="Times New Roman" w:hAnsi="Times New Roman" w:eastAsia="宋体" w:cs="Times New Roman"/>
                <w:spacing w:val="-6"/>
                <w:position w:val="1"/>
                <w:sz w:val="19"/>
                <w:szCs w:val="19"/>
                <w:highlight w:val="none"/>
              </w:rPr>
              <w:t xml:space="preserve">月    </w:t>
            </w:r>
            <w:r>
              <w:rPr>
                <w:rFonts w:hint="default" w:ascii="Times New Roman" w:hAnsi="Times New Roman" w:eastAsia="宋体" w:cs="Times New Roman"/>
                <w:spacing w:val="-6"/>
                <w:sz w:val="19"/>
                <w:szCs w:val="19"/>
                <w:highlight w:val="none"/>
              </w:rPr>
              <w:t>日</w:t>
            </w:r>
          </w:p>
        </w:tc>
      </w:tr>
      <w:tr w14:paraId="0BB02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385" w:type="dxa"/>
            <w:vMerge w:val="continue"/>
            <w:vAlign w:val="top"/>
          </w:tcPr>
          <w:p w14:paraId="65493BCF">
            <w:pPr>
              <w:keepNext w:val="0"/>
              <w:keepLines w:val="0"/>
              <w:pageBreakBefore w:val="0"/>
              <w:widowControl w:val="0"/>
              <w:kinsoku w:val="0"/>
              <w:wordWrap/>
              <w:overflowPunct w:val="0"/>
              <w:topLinePunct w:val="0"/>
              <w:autoSpaceDE w:val="0"/>
              <w:autoSpaceDN w:val="0"/>
              <w:bidi w:val="0"/>
              <w:adjustRightInd w:val="0"/>
              <w:snapToGrid w:val="0"/>
              <w:spacing w:line="218" w:lineRule="auto"/>
              <w:ind w:left="289"/>
              <w:textAlignment w:val="baseline"/>
              <w:rPr>
                <w:rFonts w:hint="default" w:ascii="Times New Roman" w:hAnsi="Times New Roman" w:eastAsia="宋体" w:cs="Times New Roman"/>
                <w:spacing w:val="-6"/>
                <w:sz w:val="19"/>
                <w:szCs w:val="19"/>
                <w:highlight w:val="none"/>
              </w:rPr>
            </w:pPr>
          </w:p>
        </w:tc>
        <w:tc>
          <w:tcPr>
            <w:tcW w:w="1115" w:type="dxa"/>
            <w:vMerge w:val="continue"/>
            <w:vAlign w:val="top"/>
          </w:tcPr>
          <w:p w14:paraId="473BC1DE">
            <w:pPr>
              <w:keepNext w:val="0"/>
              <w:keepLines w:val="0"/>
              <w:pageBreakBefore w:val="0"/>
              <w:widowControl w:val="0"/>
              <w:kinsoku w:val="0"/>
              <w:wordWrap/>
              <w:overflowPunct w:val="0"/>
              <w:topLinePunct w:val="0"/>
              <w:autoSpaceDE w:val="0"/>
              <w:autoSpaceDN w:val="0"/>
              <w:bidi w:val="0"/>
              <w:adjustRightInd w:val="0"/>
              <w:snapToGrid w:val="0"/>
              <w:spacing w:line="218" w:lineRule="auto"/>
              <w:ind w:left="289"/>
              <w:textAlignment w:val="baseline"/>
              <w:rPr>
                <w:rFonts w:hint="default" w:ascii="Times New Roman" w:hAnsi="Times New Roman" w:eastAsia="宋体" w:cs="Times New Roman"/>
                <w:spacing w:val="-6"/>
                <w:sz w:val="19"/>
                <w:szCs w:val="19"/>
                <w:highlight w:val="none"/>
              </w:rPr>
            </w:pPr>
          </w:p>
        </w:tc>
        <w:tc>
          <w:tcPr>
            <w:tcW w:w="1751" w:type="dxa"/>
            <w:gridSpan w:val="3"/>
            <w:vMerge w:val="continue"/>
            <w:vAlign w:val="top"/>
          </w:tcPr>
          <w:p w14:paraId="557A58A9">
            <w:pPr>
              <w:keepNext w:val="0"/>
              <w:keepLines w:val="0"/>
              <w:pageBreakBefore w:val="0"/>
              <w:widowControl w:val="0"/>
              <w:kinsoku w:val="0"/>
              <w:wordWrap/>
              <w:overflowPunct w:val="0"/>
              <w:topLinePunct w:val="0"/>
              <w:autoSpaceDE w:val="0"/>
              <w:autoSpaceDN w:val="0"/>
              <w:bidi w:val="0"/>
              <w:adjustRightInd w:val="0"/>
              <w:snapToGrid w:val="0"/>
              <w:spacing w:line="218" w:lineRule="auto"/>
              <w:ind w:left="289"/>
              <w:textAlignment w:val="baseline"/>
              <w:rPr>
                <w:rFonts w:hint="default" w:ascii="Times New Roman" w:hAnsi="Times New Roman" w:eastAsia="宋体" w:cs="Times New Roman"/>
                <w:spacing w:val="-6"/>
                <w:sz w:val="19"/>
                <w:szCs w:val="19"/>
                <w:highlight w:val="none"/>
              </w:rPr>
            </w:pPr>
          </w:p>
        </w:tc>
        <w:tc>
          <w:tcPr>
            <w:tcW w:w="1256" w:type="dxa"/>
            <w:vMerge w:val="continue"/>
            <w:vAlign w:val="top"/>
          </w:tcPr>
          <w:p w14:paraId="645CBE1D">
            <w:pPr>
              <w:keepNext w:val="0"/>
              <w:keepLines w:val="0"/>
              <w:pageBreakBefore w:val="0"/>
              <w:widowControl w:val="0"/>
              <w:kinsoku w:val="0"/>
              <w:wordWrap/>
              <w:overflowPunct w:val="0"/>
              <w:topLinePunct w:val="0"/>
              <w:autoSpaceDE w:val="0"/>
              <w:autoSpaceDN w:val="0"/>
              <w:bidi w:val="0"/>
              <w:adjustRightInd w:val="0"/>
              <w:snapToGrid w:val="0"/>
              <w:spacing w:line="218" w:lineRule="auto"/>
              <w:ind w:left="289"/>
              <w:textAlignment w:val="baseline"/>
              <w:rPr>
                <w:rFonts w:hint="default" w:ascii="Times New Roman" w:hAnsi="Times New Roman" w:eastAsia="宋体" w:cs="Times New Roman"/>
                <w:spacing w:val="-6"/>
                <w:sz w:val="19"/>
                <w:szCs w:val="19"/>
                <w:highlight w:val="none"/>
              </w:rPr>
            </w:pPr>
          </w:p>
        </w:tc>
        <w:tc>
          <w:tcPr>
            <w:tcW w:w="2579" w:type="dxa"/>
            <w:gridSpan w:val="3"/>
            <w:vMerge w:val="continue"/>
            <w:vAlign w:val="top"/>
          </w:tcPr>
          <w:p w14:paraId="6AA582BE">
            <w:pPr>
              <w:keepNext w:val="0"/>
              <w:keepLines w:val="0"/>
              <w:pageBreakBefore w:val="0"/>
              <w:widowControl w:val="0"/>
              <w:kinsoku w:val="0"/>
              <w:wordWrap/>
              <w:overflowPunct w:val="0"/>
              <w:topLinePunct w:val="0"/>
              <w:autoSpaceDE w:val="0"/>
              <w:autoSpaceDN w:val="0"/>
              <w:bidi w:val="0"/>
              <w:adjustRightInd w:val="0"/>
              <w:snapToGrid w:val="0"/>
              <w:spacing w:line="218" w:lineRule="auto"/>
              <w:ind w:left="289"/>
              <w:textAlignment w:val="baseline"/>
              <w:rPr>
                <w:rFonts w:hint="default" w:ascii="Times New Roman" w:hAnsi="Times New Roman" w:eastAsia="宋体" w:cs="Times New Roman"/>
                <w:spacing w:val="-6"/>
                <w:sz w:val="19"/>
                <w:szCs w:val="19"/>
                <w:highlight w:val="none"/>
              </w:rPr>
            </w:pPr>
          </w:p>
        </w:tc>
        <w:tc>
          <w:tcPr>
            <w:tcW w:w="471" w:type="dxa"/>
            <w:vMerge w:val="continue"/>
            <w:textDirection w:val="tbRlV"/>
            <w:vAlign w:val="top"/>
          </w:tcPr>
          <w:p w14:paraId="4D01E67B">
            <w:pPr>
              <w:keepNext w:val="0"/>
              <w:keepLines w:val="0"/>
              <w:pageBreakBefore w:val="0"/>
              <w:widowControl w:val="0"/>
              <w:kinsoku w:val="0"/>
              <w:wordWrap/>
              <w:overflowPunct w:val="0"/>
              <w:topLinePunct w:val="0"/>
              <w:autoSpaceDE w:val="0"/>
              <w:autoSpaceDN w:val="0"/>
              <w:bidi w:val="0"/>
              <w:adjustRightInd w:val="0"/>
              <w:snapToGrid w:val="0"/>
              <w:spacing w:line="218" w:lineRule="auto"/>
              <w:ind w:left="289"/>
              <w:textAlignment w:val="baseline"/>
              <w:rPr>
                <w:rFonts w:hint="default" w:ascii="Times New Roman" w:hAnsi="Times New Roman" w:eastAsia="宋体" w:cs="Times New Roman"/>
                <w:spacing w:val="-6"/>
                <w:sz w:val="19"/>
                <w:szCs w:val="19"/>
                <w:highlight w:val="none"/>
              </w:rPr>
            </w:pPr>
          </w:p>
        </w:tc>
        <w:tc>
          <w:tcPr>
            <w:tcW w:w="1151" w:type="dxa"/>
            <w:vMerge w:val="continue"/>
            <w:vAlign w:val="top"/>
          </w:tcPr>
          <w:p w14:paraId="6C99E3B6">
            <w:pPr>
              <w:keepNext w:val="0"/>
              <w:keepLines w:val="0"/>
              <w:pageBreakBefore w:val="0"/>
              <w:widowControl w:val="0"/>
              <w:kinsoku w:val="0"/>
              <w:wordWrap/>
              <w:overflowPunct w:val="0"/>
              <w:topLinePunct w:val="0"/>
              <w:autoSpaceDE w:val="0"/>
              <w:autoSpaceDN w:val="0"/>
              <w:bidi w:val="0"/>
              <w:adjustRightInd w:val="0"/>
              <w:snapToGrid w:val="0"/>
              <w:spacing w:line="218" w:lineRule="auto"/>
              <w:ind w:left="289"/>
              <w:textAlignment w:val="baseline"/>
              <w:rPr>
                <w:rFonts w:hint="default" w:ascii="Times New Roman" w:hAnsi="Times New Roman" w:eastAsia="宋体" w:cs="Times New Roman"/>
                <w:spacing w:val="-6"/>
                <w:sz w:val="19"/>
                <w:szCs w:val="19"/>
                <w:highlight w:val="none"/>
              </w:rPr>
            </w:pPr>
          </w:p>
        </w:tc>
        <w:tc>
          <w:tcPr>
            <w:tcW w:w="3479" w:type="dxa"/>
            <w:gridSpan w:val="3"/>
            <w:vMerge w:val="continue"/>
            <w:vAlign w:val="top"/>
          </w:tcPr>
          <w:p w14:paraId="41C0E64E">
            <w:pPr>
              <w:keepNext w:val="0"/>
              <w:keepLines w:val="0"/>
              <w:pageBreakBefore w:val="0"/>
              <w:widowControl w:val="0"/>
              <w:kinsoku w:val="0"/>
              <w:wordWrap/>
              <w:overflowPunct w:val="0"/>
              <w:topLinePunct w:val="0"/>
              <w:autoSpaceDE w:val="0"/>
              <w:autoSpaceDN w:val="0"/>
              <w:bidi w:val="0"/>
              <w:adjustRightInd w:val="0"/>
              <w:snapToGrid w:val="0"/>
              <w:spacing w:line="218" w:lineRule="auto"/>
              <w:ind w:left="289"/>
              <w:textAlignment w:val="baseline"/>
              <w:rPr>
                <w:rFonts w:hint="default" w:ascii="Times New Roman" w:hAnsi="Times New Roman" w:eastAsia="宋体" w:cs="Times New Roman"/>
                <w:spacing w:val="-6"/>
                <w:sz w:val="19"/>
                <w:szCs w:val="19"/>
                <w:highlight w:val="none"/>
              </w:rPr>
            </w:pPr>
          </w:p>
        </w:tc>
        <w:tc>
          <w:tcPr>
            <w:tcW w:w="1256" w:type="dxa"/>
            <w:vMerge w:val="continue"/>
            <w:vAlign w:val="top"/>
          </w:tcPr>
          <w:p w14:paraId="4790B6D4">
            <w:pPr>
              <w:keepNext w:val="0"/>
              <w:keepLines w:val="0"/>
              <w:pageBreakBefore w:val="0"/>
              <w:widowControl w:val="0"/>
              <w:kinsoku w:val="0"/>
              <w:wordWrap/>
              <w:overflowPunct w:val="0"/>
              <w:topLinePunct w:val="0"/>
              <w:autoSpaceDE w:val="0"/>
              <w:autoSpaceDN w:val="0"/>
              <w:bidi w:val="0"/>
              <w:adjustRightInd w:val="0"/>
              <w:snapToGrid w:val="0"/>
              <w:spacing w:line="218" w:lineRule="auto"/>
              <w:ind w:left="289"/>
              <w:textAlignment w:val="baseline"/>
              <w:rPr>
                <w:rFonts w:hint="default" w:ascii="Times New Roman" w:hAnsi="Times New Roman" w:eastAsia="宋体" w:cs="Times New Roman"/>
                <w:spacing w:val="-6"/>
                <w:sz w:val="19"/>
                <w:szCs w:val="19"/>
                <w:highlight w:val="none"/>
              </w:rPr>
            </w:pPr>
          </w:p>
        </w:tc>
        <w:tc>
          <w:tcPr>
            <w:tcW w:w="2045" w:type="dxa"/>
            <w:gridSpan w:val="3"/>
            <w:vMerge w:val="continue"/>
            <w:vAlign w:val="top"/>
          </w:tcPr>
          <w:p w14:paraId="38DA32F3">
            <w:pPr>
              <w:keepNext w:val="0"/>
              <w:keepLines w:val="0"/>
              <w:pageBreakBefore w:val="0"/>
              <w:widowControl w:val="0"/>
              <w:kinsoku w:val="0"/>
              <w:wordWrap/>
              <w:overflowPunct w:val="0"/>
              <w:topLinePunct w:val="0"/>
              <w:autoSpaceDE w:val="0"/>
              <w:autoSpaceDN w:val="0"/>
              <w:bidi w:val="0"/>
              <w:adjustRightInd w:val="0"/>
              <w:snapToGrid w:val="0"/>
              <w:spacing w:line="218" w:lineRule="auto"/>
              <w:ind w:left="289"/>
              <w:textAlignment w:val="baseline"/>
              <w:rPr>
                <w:rFonts w:hint="default" w:ascii="Times New Roman" w:hAnsi="Times New Roman" w:eastAsia="宋体" w:cs="Times New Roman"/>
                <w:spacing w:val="-6"/>
                <w:sz w:val="19"/>
                <w:szCs w:val="19"/>
                <w:highlight w:val="none"/>
              </w:rPr>
            </w:pPr>
          </w:p>
        </w:tc>
      </w:tr>
      <w:tr w14:paraId="253C9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1500" w:type="dxa"/>
            <w:gridSpan w:val="2"/>
            <w:vAlign w:val="center"/>
          </w:tcPr>
          <w:p w14:paraId="457DA1B5">
            <w:pPr>
              <w:keepNext w:val="0"/>
              <w:keepLines w:val="0"/>
              <w:pageBreakBefore w:val="0"/>
              <w:widowControl w:val="0"/>
              <w:kinsoku w:val="0"/>
              <w:wordWrap/>
              <w:overflowPunct w:val="0"/>
              <w:topLinePunct w:val="0"/>
              <w:autoSpaceDE w:val="0"/>
              <w:autoSpaceDN w:val="0"/>
              <w:bidi w:val="0"/>
              <w:adjustRightInd w:val="0"/>
              <w:snapToGrid w:val="0"/>
              <w:spacing w:before="62" w:line="239" w:lineRule="auto"/>
              <w:ind w:right="182"/>
              <w:jc w:val="center"/>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sz w:val="19"/>
                <w:szCs w:val="19"/>
                <w:highlight w:val="none"/>
              </w:rPr>
              <w:t>主管部门审核</w:t>
            </w:r>
            <w:r>
              <w:rPr>
                <w:rFonts w:hint="eastAsia" w:ascii="Times New Roman" w:hAnsi="Times New Roman" w:eastAsia="宋体" w:cs="Times New Roman"/>
                <w:spacing w:val="-6"/>
                <w:sz w:val="19"/>
                <w:szCs w:val="19"/>
                <w:highlight w:val="none"/>
                <w:lang w:eastAsia="zh-CN"/>
              </w:rPr>
              <w:t>（</w:t>
            </w:r>
            <w:r>
              <w:rPr>
                <w:rFonts w:hint="default" w:ascii="Times New Roman" w:hAnsi="Times New Roman" w:eastAsia="宋体" w:cs="Times New Roman"/>
                <w:spacing w:val="-6"/>
                <w:sz w:val="19"/>
                <w:szCs w:val="19"/>
                <w:highlight w:val="none"/>
              </w:rPr>
              <w:t>审批</w:t>
            </w:r>
            <w:r>
              <w:rPr>
                <w:rFonts w:hint="eastAsia" w:ascii="Times New Roman" w:hAnsi="Times New Roman" w:eastAsia="宋体" w:cs="Times New Roman"/>
                <w:spacing w:val="-6"/>
                <w:sz w:val="19"/>
                <w:szCs w:val="19"/>
                <w:highlight w:val="none"/>
                <w:lang w:eastAsia="zh-CN"/>
              </w:rPr>
              <w:t>）</w:t>
            </w:r>
            <w:r>
              <w:rPr>
                <w:rFonts w:hint="default" w:ascii="Times New Roman" w:hAnsi="Times New Roman" w:eastAsia="宋体" w:cs="Times New Roman"/>
                <w:spacing w:val="-6"/>
                <w:sz w:val="19"/>
                <w:szCs w:val="19"/>
                <w:highlight w:val="none"/>
              </w:rPr>
              <w:t>意见</w:t>
            </w:r>
          </w:p>
        </w:tc>
        <w:tc>
          <w:tcPr>
            <w:tcW w:w="13988" w:type="dxa"/>
            <w:gridSpan w:val="16"/>
            <w:vAlign w:val="top"/>
          </w:tcPr>
          <w:p w14:paraId="16C44595">
            <w:pPr>
              <w:pStyle w:val="9"/>
              <w:keepNext w:val="0"/>
              <w:keepLines w:val="0"/>
              <w:pageBreakBefore w:val="0"/>
              <w:widowControl w:val="0"/>
              <w:kinsoku w:val="0"/>
              <w:wordWrap/>
              <w:overflowPunct w:val="0"/>
              <w:topLinePunct w:val="0"/>
              <w:autoSpaceDE w:val="0"/>
              <w:autoSpaceDN w:val="0"/>
              <w:bidi w:val="0"/>
              <w:adjustRightInd w:val="0"/>
              <w:snapToGrid w:val="0"/>
              <w:spacing w:line="316" w:lineRule="auto"/>
              <w:textAlignment w:val="baseline"/>
              <w:rPr>
                <w:rFonts w:hint="default" w:ascii="Times New Roman" w:hAnsi="Times New Roman" w:cs="Times New Roman"/>
                <w:spacing w:val="-6"/>
                <w:highlight w:val="none"/>
              </w:rPr>
            </w:pPr>
          </w:p>
          <w:p w14:paraId="5C229B71">
            <w:pPr>
              <w:pStyle w:val="9"/>
              <w:keepNext w:val="0"/>
              <w:keepLines w:val="0"/>
              <w:pageBreakBefore w:val="0"/>
              <w:widowControl w:val="0"/>
              <w:kinsoku w:val="0"/>
              <w:wordWrap/>
              <w:overflowPunct w:val="0"/>
              <w:topLinePunct w:val="0"/>
              <w:autoSpaceDE w:val="0"/>
              <w:autoSpaceDN w:val="0"/>
              <w:bidi w:val="0"/>
              <w:adjustRightInd w:val="0"/>
              <w:snapToGrid w:val="0"/>
              <w:spacing w:line="316" w:lineRule="auto"/>
              <w:textAlignment w:val="baseline"/>
              <w:rPr>
                <w:rFonts w:hint="default" w:ascii="Times New Roman" w:hAnsi="Times New Roman" w:cs="Times New Roman"/>
                <w:spacing w:val="-6"/>
                <w:highlight w:val="none"/>
              </w:rPr>
            </w:pPr>
          </w:p>
          <w:p w14:paraId="5150F31C">
            <w:pPr>
              <w:pStyle w:val="9"/>
              <w:keepNext w:val="0"/>
              <w:keepLines w:val="0"/>
              <w:pageBreakBefore w:val="0"/>
              <w:widowControl w:val="0"/>
              <w:kinsoku w:val="0"/>
              <w:wordWrap/>
              <w:overflowPunct w:val="0"/>
              <w:topLinePunct w:val="0"/>
              <w:autoSpaceDE w:val="0"/>
              <w:autoSpaceDN w:val="0"/>
              <w:bidi w:val="0"/>
              <w:adjustRightInd w:val="0"/>
              <w:snapToGrid w:val="0"/>
              <w:spacing w:line="316" w:lineRule="auto"/>
              <w:textAlignment w:val="baseline"/>
              <w:rPr>
                <w:rFonts w:hint="default" w:ascii="Times New Roman" w:hAnsi="Times New Roman" w:cs="Times New Roman"/>
                <w:spacing w:val="-6"/>
                <w:highlight w:val="none"/>
              </w:rPr>
            </w:pPr>
          </w:p>
          <w:p w14:paraId="79A0EA87">
            <w:pPr>
              <w:keepNext w:val="0"/>
              <w:keepLines w:val="0"/>
              <w:pageBreakBefore w:val="0"/>
              <w:widowControl w:val="0"/>
              <w:kinsoku w:val="0"/>
              <w:wordWrap/>
              <w:overflowPunct w:val="0"/>
              <w:topLinePunct w:val="0"/>
              <w:autoSpaceDE w:val="0"/>
              <w:autoSpaceDN w:val="0"/>
              <w:bidi w:val="0"/>
              <w:adjustRightInd w:val="0"/>
              <w:snapToGrid w:val="0"/>
              <w:spacing w:before="61" w:line="219" w:lineRule="auto"/>
              <w:jc w:val="right"/>
              <w:textAlignment w:val="baseline"/>
              <w:rPr>
                <w:rFonts w:hint="eastAsia" w:ascii="Times New Roman" w:hAnsi="Times New Roman" w:eastAsia="宋体" w:cs="Times New Roman"/>
                <w:spacing w:val="-6"/>
                <w:sz w:val="19"/>
                <w:szCs w:val="19"/>
                <w:highlight w:val="none"/>
                <w:lang w:eastAsia="zh-CN"/>
              </w:rPr>
            </w:pPr>
            <w:r>
              <w:rPr>
                <w:rFonts w:hint="eastAsia" w:ascii="Times New Roman" w:hAnsi="Times New Roman" w:eastAsia="宋体" w:cs="Times New Roman"/>
                <w:spacing w:val="-6"/>
                <w:sz w:val="19"/>
                <w:szCs w:val="19"/>
                <w:highlight w:val="none"/>
                <w:lang w:eastAsia="zh-CN"/>
              </w:rPr>
              <w:t>（</w:t>
            </w:r>
            <w:r>
              <w:rPr>
                <w:rFonts w:hint="default" w:ascii="Times New Roman" w:hAnsi="Times New Roman" w:eastAsia="宋体" w:cs="Times New Roman"/>
                <w:spacing w:val="-6"/>
                <w:sz w:val="19"/>
                <w:szCs w:val="19"/>
                <w:highlight w:val="none"/>
              </w:rPr>
              <w:t>主管部门公章</w:t>
            </w:r>
            <w:r>
              <w:rPr>
                <w:rFonts w:hint="eastAsia" w:ascii="Times New Roman" w:hAnsi="Times New Roman" w:eastAsia="宋体" w:cs="Times New Roman"/>
                <w:spacing w:val="-6"/>
                <w:sz w:val="19"/>
                <w:szCs w:val="19"/>
                <w:highlight w:val="none"/>
                <w:lang w:eastAsia="zh-CN"/>
              </w:rPr>
              <w:t>）</w:t>
            </w:r>
          </w:p>
          <w:p w14:paraId="22D6E1BB">
            <w:pPr>
              <w:keepNext w:val="0"/>
              <w:keepLines w:val="0"/>
              <w:pageBreakBefore w:val="0"/>
              <w:widowControl w:val="0"/>
              <w:kinsoku w:val="0"/>
              <w:wordWrap/>
              <w:overflowPunct w:val="0"/>
              <w:topLinePunct w:val="0"/>
              <w:autoSpaceDE w:val="0"/>
              <w:autoSpaceDN w:val="0"/>
              <w:bidi w:val="0"/>
              <w:adjustRightInd w:val="0"/>
              <w:snapToGrid w:val="0"/>
              <w:spacing w:before="185" w:line="229" w:lineRule="auto"/>
              <w:ind w:left="6791"/>
              <w:textAlignment w:val="baseline"/>
              <w:rPr>
                <w:rFonts w:hint="default" w:ascii="Times New Roman" w:hAnsi="Times New Roman" w:eastAsia="宋体" w:cs="Times New Roman"/>
                <w:spacing w:val="-6"/>
                <w:sz w:val="19"/>
                <w:szCs w:val="19"/>
                <w:highlight w:val="none"/>
              </w:rPr>
            </w:pPr>
            <w:r>
              <w:rPr>
                <w:rFonts w:hint="default" w:ascii="Times New Roman" w:hAnsi="Times New Roman" w:eastAsia="宋体" w:cs="Times New Roman"/>
                <w:spacing w:val="-6"/>
                <w:position w:val="-1"/>
                <w:sz w:val="19"/>
                <w:szCs w:val="19"/>
                <w:highlight w:val="none"/>
              </w:rPr>
              <w:t xml:space="preserve">经办人：                   </w:t>
            </w:r>
            <w:r>
              <w:rPr>
                <w:rFonts w:hint="default" w:ascii="Times New Roman" w:hAnsi="Times New Roman" w:eastAsia="宋体" w:cs="Times New Roman"/>
                <w:spacing w:val="-6"/>
                <w:sz w:val="19"/>
                <w:szCs w:val="19"/>
                <w:highlight w:val="none"/>
              </w:rPr>
              <w:t>资产管理部门负责人：              年     月      日</w:t>
            </w:r>
          </w:p>
        </w:tc>
      </w:tr>
    </w:tbl>
    <w:p w14:paraId="54593CA2">
      <w:pPr>
        <w:pStyle w:val="3"/>
        <w:keepNext w:val="0"/>
        <w:keepLines w:val="0"/>
        <w:pageBreakBefore w:val="0"/>
        <w:widowControl w:val="0"/>
        <w:kinsoku w:val="0"/>
        <w:wordWrap/>
        <w:overflowPunct w:val="0"/>
        <w:topLinePunct w:val="0"/>
        <w:autoSpaceDE w:val="0"/>
        <w:autoSpaceDN w:val="0"/>
        <w:bidi w:val="0"/>
        <w:adjustRightInd w:val="0"/>
        <w:snapToGrid w:val="0"/>
        <w:spacing w:before="22" w:line="300" w:lineRule="exact"/>
        <w:ind w:left="1334"/>
        <w:textAlignment w:val="baseline"/>
        <w:rPr>
          <w:rFonts w:hint="default" w:ascii="Times New Roman" w:hAnsi="Times New Roman" w:eastAsia="宋体" w:cs="Times New Roman"/>
          <w:spacing w:val="-6"/>
          <w:sz w:val="20"/>
          <w:szCs w:val="20"/>
          <w:highlight w:val="none"/>
          <w:lang w:eastAsia="zh-CN"/>
        </w:rPr>
      </w:pPr>
      <w:r>
        <w:rPr>
          <w:rFonts w:hint="default" w:ascii="Times New Roman" w:hAnsi="Times New Roman" w:cs="Times New Roman"/>
          <w:spacing w:val="-6"/>
          <w:sz w:val="20"/>
          <w:szCs w:val="20"/>
          <w:highlight w:val="none"/>
          <w:lang w:eastAsia="zh-CN"/>
        </w:rPr>
        <w:t>说明：</w:t>
      </w:r>
    </w:p>
    <w:p w14:paraId="2CFE908E">
      <w:pPr>
        <w:pStyle w:val="3"/>
        <w:keepNext w:val="0"/>
        <w:keepLines w:val="0"/>
        <w:pageBreakBefore w:val="0"/>
        <w:widowControl w:val="0"/>
        <w:kinsoku w:val="0"/>
        <w:wordWrap/>
        <w:overflowPunct w:val="0"/>
        <w:topLinePunct w:val="0"/>
        <w:autoSpaceDE w:val="0"/>
        <w:autoSpaceDN w:val="0"/>
        <w:bidi w:val="0"/>
        <w:adjustRightInd w:val="0"/>
        <w:snapToGrid w:val="0"/>
        <w:spacing w:before="22" w:line="300" w:lineRule="exact"/>
        <w:ind w:left="1334"/>
        <w:textAlignment w:val="baseline"/>
        <w:rPr>
          <w:rFonts w:hint="default" w:ascii="Times New Roman" w:hAnsi="Times New Roman" w:cs="Times New Roman"/>
          <w:spacing w:val="-6"/>
          <w:sz w:val="20"/>
          <w:szCs w:val="20"/>
          <w:highlight w:val="none"/>
        </w:rPr>
      </w:pPr>
      <w:r>
        <w:rPr>
          <w:rFonts w:hint="default" w:ascii="Times New Roman" w:hAnsi="Times New Roman" w:cs="Times New Roman"/>
          <w:spacing w:val="-6"/>
          <w:sz w:val="20"/>
          <w:szCs w:val="20"/>
          <w:highlight w:val="none"/>
        </w:rPr>
        <w:t>1.本表适用于</w:t>
      </w:r>
      <w:r>
        <w:rPr>
          <w:rFonts w:hint="default" w:ascii="Times New Roman" w:hAnsi="Times New Roman" w:cs="Times New Roman"/>
          <w:spacing w:val="-6"/>
          <w:sz w:val="20"/>
          <w:szCs w:val="20"/>
          <w:highlight w:val="none"/>
          <w:lang w:eastAsia="zh-CN"/>
        </w:rPr>
        <w:t>区</w:t>
      </w:r>
      <w:r>
        <w:rPr>
          <w:rFonts w:hint="default" w:ascii="Times New Roman" w:hAnsi="Times New Roman" w:cs="Times New Roman"/>
          <w:spacing w:val="-6"/>
          <w:sz w:val="20"/>
          <w:szCs w:val="20"/>
          <w:highlight w:val="none"/>
        </w:rPr>
        <w:t>直行政事业单位国有资产无偿划转、对外捐赠等处置事项申请</w:t>
      </w:r>
      <w:r>
        <w:rPr>
          <w:rFonts w:hint="default" w:ascii="Times New Roman" w:hAnsi="Times New Roman" w:cs="Times New Roman"/>
          <w:spacing w:val="-6"/>
          <w:sz w:val="20"/>
          <w:szCs w:val="20"/>
          <w:highlight w:val="none"/>
          <w:lang w:eastAsia="zh-CN"/>
        </w:rPr>
        <w:t>，处置申报表具体样式以广东省行政事业性国有资产管理系统下载的样式为准</w:t>
      </w:r>
      <w:r>
        <w:rPr>
          <w:rFonts w:hint="default" w:ascii="Times New Roman" w:hAnsi="Times New Roman" w:cs="Times New Roman"/>
          <w:spacing w:val="-6"/>
          <w:sz w:val="20"/>
          <w:szCs w:val="20"/>
          <w:highlight w:val="none"/>
        </w:rPr>
        <w:t>。</w:t>
      </w:r>
    </w:p>
    <w:p w14:paraId="27A743A3">
      <w:pPr>
        <w:pStyle w:val="3"/>
        <w:keepNext w:val="0"/>
        <w:keepLines w:val="0"/>
        <w:pageBreakBefore w:val="0"/>
        <w:widowControl w:val="0"/>
        <w:kinsoku w:val="0"/>
        <w:wordWrap/>
        <w:overflowPunct w:val="0"/>
        <w:topLinePunct w:val="0"/>
        <w:autoSpaceDE w:val="0"/>
        <w:autoSpaceDN w:val="0"/>
        <w:bidi w:val="0"/>
        <w:adjustRightInd w:val="0"/>
        <w:snapToGrid w:val="0"/>
        <w:spacing w:before="22" w:line="300" w:lineRule="exact"/>
        <w:ind w:left="1334"/>
        <w:textAlignment w:val="baseline"/>
        <w:rPr>
          <w:rFonts w:hint="default" w:ascii="Times New Roman" w:hAnsi="Times New Roman" w:cs="Times New Roman"/>
          <w:spacing w:val="-6"/>
          <w:sz w:val="20"/>
          <w:szCs w:val="20"/>
          <w:highlight w:val="none"/>
        </w:rPr>
      </w:pPr>
      <w:r>
        <w:rPr>
          <w:rFonts w:hint="default" w:ascii="Times New Roman" w:hAnsi="Times New Roman" w:cs="Times New Roman"/>
          <w:spacing w:val="-6"/>
          <w:sz w:val="20"/>
          <w:szCs w:val="20"/>
          <w:highlight w:val="none"/>
        </w:rPr>
        <w:t>2.资产类别：</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1</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固定资产包括①房屋及构筑物②车辆③设备④文物和陈列品⑤图书、档案⑥家具、用具、装具及动植物⑦其他；</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2</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无形资产包括①专利权②非专利技术③著作权④资源资质⑤商标权⑥信息数据⑦其他</w:t>
      </w:r>
      <w:r>
        <w:rPr>
          <w:rFonts w:hint="default" w:ascii="Times New Roman" w:hAnsi="Times New Roman" w:cs="Times New Roman"/>
          <w:spacing w:val="-6"/>
          <w:sz w:val="20"/>
          <w:szCs w:val="20"/>
          <w:highlight w:val="none"/>
          <w:lang w:eastAsia="zh-CN"/>
        </w:rPr>
        <w:t>；</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3</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对外投资包括①短期投资②长期股权投资③长期债券投资；</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4</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存货等其他资产。</w:t>
      </w:r>
    </w:p>
    <w:p w14:paraId="78096F3B">
      <w:pPr>
        <w:pStyle w:val="3"/>
        <w:keepNext w:val="0"/>
        <w:keepLines w:val="0"/>
        <w:pageBreakBefore w:val="0"/>
        <w:widowControl w:val="0"/>
        <w:kinsoku w:val="0"/>
        <w:wordWrap/>
        <w:overflowPunct w:val="0"/>
        <w:topLinePunct w:val="0"/>
        <w:autoSpaceDE w:val="0"/>
        <w:autoSpaceDN w:val="0"/>
        <w:bidi w:val="0"/>
        <w:adjustRightInd w:val="0"/>
        <w:snapToGrid w:val="0"/>
        <w:spacing w:before="22" w:line="300" w:lineRule="exact"/>
        <w:ind w:left="1334"/>
        <w:textAlignment w:val="baseline"/>
        <w:rPr>
          <w:rFonts w:hint="default" w:ascii="Times New Roman" w:hAnsi="Times New Roman" w:cs="Times New Roman"/>
          <w:spacing w:val="-6"/>
          <w:sz w:val="20"/>
          <w:szCs w:val="20"/>
          <w:highlight w:val="none"/>
        </w:rPr>
      </w:pPr>
      <w:r>
        <w:rPr>
          <w:rFonts w:hint="default" w:ascii="Times New Roman" w:hAnsi="Times New Roman" w:cs="Times New Roman"/>
          <w:spacing w:val="-6"/>
          <w:sz w:val="20"/>
          <w:szCs w:val="20"/>
          <w:highlight w:val="none"/>
        </w:rPr>
        <w:t>3.资产来源：</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1</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财政性资金形成</w:t>
      </w:r>
      <w:r>
        <w:rPr>
          <w:rFonts w:hint="default" w:ascii="Times New Roman" w:hAnsi="Times New Roman" w:cs="Times New Roman"/>
          <w:spacing w:val="-6"/>
          <w:sz w:val="20"/>
          <w:szCs w:val="20"/>
          <w:highlight w:val="none"/>
          <w:lang w:eastAsia="zh-CN"/>
        </w:rPr>
        <w:t>；</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2</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单位自筹资金形成；</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3</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单位合并形成</w:t>
      </w:r>
      <w:r>
        <w:rPr>
          <w:rFonts w:hint="default" w:ascii="Times New Roman" w:hAnsi="Times New Roman" w:cs="Times New Roman"/>
          <w:spacing w:val="-6"/>
          <w:sz w:val="20"/>
          <w:szCs w:val="20"/>
          <w:highlight w:val="none"/>
          <w:lang w:eastAsia="zh-CN"/>
        </w:rPr>
        <w:t>；</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4</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上级拨付资金形成</w:t>
      </w:r>
      <w:r>
        <w:rPr>
          <w:rFonts w:hint="default" w:ascii="Times New Roman" w:hAnsi="Times New Roman" w:cs="Times New Roman"/>
          <w:spacing w:val="-6"/>
          <w:sz w:val="20"/>
          <w:szCs w:val="20"/>
          <w:highlight w:val="none"/>
          <w:lang w:eastAsia="zh-CN"/>
        </w:rPr>
        <w:t>；</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5</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无偿划转形成</w:t>
      </w:r>
      <w:r>
        <w:rPr>
          <w:rFonts w:hint="default" w:ascii="Times New Roman" w:hAnsi="Times New Roman" w:cs="Times New Roman"/>
          <w:spacing w:val="-6"/>
          <w:sz w:val="20"/>
          <w:szCs w:val="20"/>
          <w:highlight w:val="none"/>
          <w:lang w:eastAsia="zh-CN"/>
        </w:rPr>
        <w:t>；</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6</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接受捐赠形成</w:t>
      </w:r>
      <w:r>
        <w:rPr>
          <w:rFonts w:hint="default" w:ascii="Times New Roman" w:hAnsi="Times New Roman" w:cs="Times New Roman"/>
          <w:spacing w:val="-6"/>
          <w:sz w:val="20"/>
          <w:szCs w:val="20"/>
          <w:highlight w:val="none"/>
          <w:lang w:eastAsia="zh-CN"/>
        </w:rPr>
        <w:t>；</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7</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其他。</w:t>
      </w:r>
    </w:p>
    <w:p w14:paraId="59DC1D92">
      <w:pPr>
        <w:pStyle w:val="3"/>
        <w:keepNext w:val="0"/>
        <w:keepLines w:val="0"/>
        <w:pageBreakBefore w:val="0"/>
        <w:widowControl w:val="0"/>
        <w:kinsoku w:val="0"/>
        <w:wordWrap/>
        <w:overflowPunct w:val="0"/>
        <w:topLinePunct w:val="0"/>
        <w:autoSpaceDE w:val="0"/>
        <w:autoSpaceDN w:val="0"/>
        <w:bidi w:val="0"/>
        <w:adjustRightInd w:val="0"/>
        <w:snapToGrid w:val="0"/>
        <w:spacing w:before="22" w:line="300" w:lineRule="exact"/>
        <w:ind w:left="1334"/>
        <w:textAlignment w:val="baseline"/>
        <w:rPr>
          <w:rFonts w:hint="default" w:ascii="Times New Roman" w:hAnsi="Times New Roman" w:cs="Times New Roman"/>
          <w:spacing w:val="-6"/>
          <w:sz w:val="20"/>
          <w:szCs w:val="20"/>
          <w:highlight w:val="none"/>
        </w:rPr>
      </w:pPr>
      <w:r>
        <w:rPr>
          <w:rFonts w:hint="default" w:ascii="Times New Roman" w:hAnsi="Times New Roman" w:cs="Times New Roman"/>
          <w:spacing w:val="-6"/>
          <w:sz w:val="20"/>
          <w:szCs w:val="20"/>
          <w:highlight w:val="none"/>
        </w:rPr>
        <w:t>4.资产处置方式：</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1</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lang w:eastAsia="zh-CN"/>
        </w:rPr>
        <w:t>区</w:t>
      </w:r>
      <w:r>
        <w:rPr>
          <w:rFonts w:hint="default" w:ascii="Times New Roman" w:hAnsi="Times New Roman" w:cs="Times New Roman"/>
          <w:spacing w:val="-6"/>
          <w:sz w:val="20"/>
          <w:szCs w:val="20"/>
          <w:highlight w:val="none"/>
        </w:rPr>
        <w:t>直部门内部单位之间划转</w:t>
      </w:r>
      <w:r>
        <w:rPr>
          <w:rFonts w:hint="default" w:ascii="Times New Roman" w:hAnsi="Times New Roman" w:cs="Times New Roman"/>
          <w:spacing w:val="-6"/>
          <w:sz w:val="20"/>
          <w:szCs w:val="20"/>
          <w:highlight w:val="none"/>
          <w:lang w:eastAsia="zh-CN"/>
        </w:rPr>
        <w:t>；</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2</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跨部门之间划转</w:t>
      </w:r>
      <w:r>
        <w:rPr>
          <w:rFonts w:hint="default" w:ascii="Times New Roman" w:hAnsi="Times New Roman" w:cs="Times New Roman"/>
          <w:spacing w:val="-6"/>
          <w:sz w:val="20"/>
          <w:szCs w:val="20"/>
          <w:highlight w:val="none"/>
          <w:lang w:eastAsia="zh-CN"/>
        </w:rPr>
        <w:t>；</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3</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lang w:eastAsia="zh-CN"/>
        </w:rPr>
        <w:t>区</w:t>
      </w:r>
      <w:r>
        <w:rPr>
          <w:rFonts w:hint="default" w:ascii="Times New Roman" w:hAnsi="Times New Roman" w:cs="Times New Roman"/>
          <w:spacing w:val="-6"/>
          <w:sz w:val="20"/>
          <w:szCs w:val="20"/>
          <w:highlight w:val="none"/>
        </w:rPr>
        <w:t>直单位和县</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市、区</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单位之间划转</w:t>
      </w:r>
      <w:r>
        <w:rPr>
          <w:rFonts w:hint="default" w:ascii="Times New Roman" w:hAnsi="Times New Roman" w:cs="Times New Roman"/>
          <w:spacing w:val="-6"/>
          <w:sz w:val="20"/>
          <w:szCs w:val="20"/>
          <w:highlight w:val="none"/>
          <w:lang w:eastAsia="zh-CN"/>
        </w:rPr>
        <w:t>；</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4</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全额财政拨款单位向非全额财政拨款单位划转</w:t>
      </w:r>
      <w:r>
        <w:rPr>
          <w:rFonts w:hint="default" w:ascii="Times New Roman" w:hAnsi="Times New Roman" w:cs="Times New Roman"/>
          <w:spacing w:val="-6"/>
          <w:sz w:val="20"/>
          <w:szCs w:val="20"/>
          <w:highlight w:val="none"/>
          <w:lang w:eastAsia="zh-CN"/>
        </w:rPr>
        <w:t>；</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5</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对外捐赠；</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6</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其他。</w:t>
      </w:r>
    </w:p>
    <w:p w14:paraId="63B81045">
      <w:pPr>
        <w:pStyle w:val="3"/>
        <w:keepNext w:val="0"/>
        <w:keepLines w:val="0"/>
        <w:pageBreakBefore w:val="0"/>
        <w:widowControl w:val="0"/>
        <w:kinsoku w:val="0"/>
        <w:wordWrap/>
        <w:overflowPunct w:val="0"/>
        <w:topLinePunct w:val="0"/>
        <w:autoSpaceDE w:val="0"/>
        <w:autoSpaceDN w:val="0"/>
        <w:bidi w:val="0"/>
        <w:adjustRightInd w:val="0"/>
        <w:snapToGrid w:val="0"/>
        <w:spacing w:before="22" w:line="300" w:lineRule="exact"/>
        <w:ind w:left="1334"/>
        <w:textAlignment w:val="baseline"/>
        <w:rPr>
          <w:rFonts w:hint="default" w:ascii="Times New Roman" w:hAnsi="Times New Roman" w:eastAsia="宋体" w:cs="Times New Roman"/>
          <w:spacing w:val="-6"/>
          <w:sz w:val="20"/>
          <w:szCs w:val="20"/>
          <w:highlight w:val="none"/>
          <w:lang w:eastAsia="zh-CN"/>
        </w:rPr>
        <w:sectPr>
          <w:footerReference r:id="rId4" w:type="default"/>
          <w:pgSz w:w="16838" w:h="11906" w:orient="landscape"/>
          <w:pgMar w:top="442" w:right="675" w:bottom="442" w:left="675" w:header="0" w:footer="0" w:gutter="0"/>
          <w:pgNumType w:fmt="decimal"/>
          <w:cols w:space="720" w:num="1"/>
        </w:sectPr>
      </w:pPr>
      <w:r>
        <w:rPr>
          <w:rFonts w:hint="default" w:ascii="Times New Roman" w:hAnsi="Times New Roman" w:cs="Times New Roman"/>
          <w:spacing w:val="-6"/>
          <w:sz w:val="20"/>
          <w:szCs w:val="20"/>
          <w:highlight w:val="none"/>
        </w:rPr>
        <w:t>5.表中资产类别、资产来源、资产处置方式等用填表说明中最末级标准名称填写，选填</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其他</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的，需在备注栏进行说</w:t>
      </w:r>
      <w:r>
        <w:rPr>
          <w:rFonts w:hint="default" w:ascii="Times New Roman" w:hAnsi="Times New Roman" w:cs="Times New Roman"/>
          <w:spacing w:val="-6"/>
          <w:sz w:val="20"/>
          <w:szCs w:val="20"/>
          <w:highlight w:val="none"/>
          <w:lang w:eastAsia="zh-CN"/>
        </w:rPr>
        <w:t>明。</w:t>
      </w:r>
    </w:p>
    <w:p w14:paraId="399C810B">
      <w:pPr>
        <w:keepNext w:val="0"/>
        <w:keepLines w:val="0"/>
        <w:pageBreakBefore w:val="0"/>
        <w:widowControl w:val="0"/>
        <w:kinsoku w:val="0"/>
        <w:wordWrap/>
        <w:overflowPunct w:val="0"/>
        <w:topLinePunct w:val="0"/>
        <w:autoSpaceDE w:val="0"/>
        <w:autoSpaceDN w:val="0"/>
        <w:bidi w:val="0"/>
        <w:adjustRightInd w:val="0"/>
        <w:snapToGrid w:val="0"/>
        <w:spacing w:before="123" w:line="224" w:lineRule="auto"/>
        <w:ind w:left="609"/>
        <w:textAlignment w:val="baseline"/>
        <w:rPr>
          <w:rFonts w:hint="default" w:ascii="Times New Roman" w:hAnsi="Times New Roman" w:eastAsia="黑体" w:cs="Times New Roman"/>
          <w:b/>
          <w:bCs/>
          <w:spacing w:val="-6"/>
          <w:sz w:val="38"/>
          <w:szCs w:val="38"/>
          <w:highlight w:val="none"/>
        </w:rPr>
      </w:pPr>
      <w:r>
        <w:rPr>
          <w:rFonts w:hint="default" w:ascii="Times New Roman" w:hAnsi="Times New Roman" w:eastAsia="黑体" w:cs="Times New Roman"/>
          <w:b/>
          <w:bCs/>
          <w:spacing w:val="-6"/>
          <w:sz w:val="38"/>
          <w:szCs w:val="38"/>
          <w:highlight w:val="none"/>
        </w:rPr>
        <w:t>附件2</w:t>
      </w:r>
    </w:p>
    <w:p w14:paraId="1EC3AB28">
      <w:pPr>
        <w:pStyle w:val="3"/>
        <w:keepNext w:val="0"/>
        <w:keepLines w:val="0"/>
        <w:pageBreakBefore w:val="0"/>
        <w:widowControl w:val="0"/>
        <w:kinsoku w:val="0"/>
        <w:wordWrap/>
        <w:overflowPunct w:val="0"/>
        <w:topLinePunct w:val="0"/>
        <w:autoSpaceDE w:val="0"/>
        <w:autoSpaceDN w:val="0"/>
        <w:bidi w:val="0"/>
        <w:adjustRightInd w:val="0"/>
        <w:snapToGrid w:val="0"/>
        <w:spacing w:before="106" w:line="219" w:lineRule="auto"/>
        <w:ind w:firstLine="3289" w:firstLineChars="700"/>
        <w:textAlignment w:val="baseline"/>
        <w:rPr>
          <w:rFonts w:hint="default" w:ascii="Times New Roman" w:hAnsi="Times New Roman" w:cs="Times New Roman"/>
          <w:b/>
          <w:bCs/>
          <w:spacing w:val="-6"/>
          <w:sz w:val="48"/>
          <w:szCs w:val="48"/>
          <w:highlight w:val="none"/>
        </w:rPr>
      </w:pPr>
      <w:r>
        <w:rPr>
          <w:rFonts w:hint="default" w:ascii="Times New Roman" w:hAnsi="Times New Roman" w:cs="Times New Roman"/>
          <w:b/>
          <w:bCs/>
          <w:spacing w:val="-6"/>
          <w:sz w:val="48"/>
          <w:szCs w:val="48"/>
          <w:highlight w:val="none"/>
          <w:lang w:eastAsia="zh-CN"/>
        </w:rPr>
        <w:t>区</w:t>
      </w:r>
      <w:r>
        <w:rPr>
          <w:rFonts w:hint="default" w:ascii="Times New Roman" w:hAnsi="Times New Roman" w:cs="Times New Roman"/>
          <w:b/>
          <w:bCs/>
          <w:spacing w:val="-6"/>
          <w:sz w:val="48"/>
          <w:szCs w:val="48"/>
          <w:highlight w:val="none"/>
        </w:rPr>
        <w:t>直行政事业单位国有资产转让等申请表</w:t>
      </w:r>
    </w:p>
    <w:p w14:paraId="575CB6B5">
      <w:pPr>
        <w:pStyle w:val="3"/>
        <w:keepNext w:val="0"/>
        <w:keepLines w:val="0"/>
        <w:pageBreakBefore w:val="0"/>
        <w:widowControl w:val="0"/>
        <w:kinsoku w:val="0"/>
        <w:wordWrap/>
        <w:overflowPunct w:val="0"/>
        <w:topLinePunct w:val="0"/>
        <w:autoSpaceDE w:val="0"/>
        <w:autoSpaceDN w:val="0"/>
        <w:bidi w:val="0"/>
        <w:adjustRightInd w:val="0"/>
        <w:snapToGrid w:val="0"/>
        <w:spacing w:before="106" w:line="219" w:lineRule="auto"/>
        <w:ind w:left="5020"/>
        <w:textAlignment w:val="baseline"/>
        <w:rPr>
          <w:rFonts w:hint="default" w:ascii="Times New Roman" w:hAnsi="Times New Roman" w:cs="Times New Roman"/>
          <w:b/>
          <w:bCs/>
          <w:spacing w:val="-6"/>
          <w:sz w:val="24"/>
          <w:szCs w:val="24"/>
          <w:highlight w:val="none"/>
        </w:rPr>
      </w:pPr>
    </w:p>
    <w:p w14:paraId="67C5298B">
      <w:pPr>
        <w:pStyle w:val="3"/>
        <w:keepNext w:val="0"/>
        <w:keepLines w:val="0"/>
        <w:pageBreakBefore w:val="0"/>
        <w:widowControl w:val="0"/>
        <w:kinsoku w:val="0"/>
        <w:wordWrap/>
        <w:overflowPunct w:val="0"/>
        <w:topLinePunct w:val="0"/>
        <w:autoSpaceDE w:val="0"/>
        <w:autoSpaceDN w:val="0"/>
        <w:bidi w:val="0"/>
        <w:adjustRightInd w:val="0"/>
        <w:snapToGrid w:val="0"/>
        <w:spacing w:before="125" w:line="227" w:lineRule="auto"/>
        <w:ind w:left="654"/>
        <w:textAlignment w:val="baseline"/>
        <w:rPr>
          <w:rFonts w:hint="default" w:ascii="Times New Roman" w:hAnsi="Times New Roman" w:cs="Times New Roman"/>
          <w:spacing w:val="-6"/>
          <w:sz w:val="20"/>
          <w:szCs w:val="20"/>
          <w:highlight w:val="none"/>
        </w:rPr>
      </w:pPr>
      <w:r>
        <w:rPr>
          <w:rFonts w:hint="default" w:ascii="Times New Roman" w:hAnsi="Times New Roman" w:cs="Times New Roman"/>
          <w:spacing w:val="-6"/>
          <w:sz w:val="20"/>
          <w:szCs w:val="20"/>
          <w:highlight w:val="none"/>
        </w:rPr>
        <w:t>申请单位</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签章</w:t>
      </w:r>
      <w:r>
        <w:rPr>
          <w:rFonts w:hint="eastAsia" w:ascii="Times New Roman" w:hAnsi="Times New Roman" w:cs="Times New Roman"/>
          <w:spacing w:val="-6"/>
          <w:sz w:val="20"/>
          <w:szCs w:val="20"/>
          <w:highlight w:val="none"/>
          <w:lang w:eastAsia="zh-CN"/>
        </w:rPr>
        <w:t>）</w:t>
      </w:r>
      <w:r>
        <w:rPr>
          <w:rFonts w:hint="default" w:ascii="Times New Roman" w:hAnsi="Times New Roman" w:cs="Times New Roman"/>
          <w:spacing w:val="-6"/>
          <w:sz w:val="20"/>
          <w:szCs w:val="20"/>
          <w:highlight w:val="none"/>
        </w:rPr>
        <w:t>:                                                            申报日期：            年      月     日                                        金额：元</w:t>
      </w:r>
    </w:p>
    <w:p w14:paraId="3B44A461">
      <w:pPr>
        <w:keepNext w:val="0"/>
        <w:keepLines w:val="0"/>
        <w:pageBreakBefore w:val="0"/>
        <w:widowControl w:val="0"/>
        <w:kinsoku w:val="0"/>
        <w:wordWrap/>
        <w:overflowPunct w:val="0"/>
        <w:topLinePunct w:val="0"/>
        <w:autoSpaceDE w:val="0"/>
        <w:autoSpaceDN w:val="0"/>
        <w:bidi w:val="0"/>
        <w:adjustRightInd w:val="0"/>
        <w:snapToGrid w:val="0"/>
        <w:spacing w:line="31" w:lineRule="exact"/>
        <w:textAlignment w:val="baseline"/>
        <w:rPr>
          <w:rFonts w:hint="default" w:ascii="Times New Roman" w:hAnsi="Times New Roman" w:cs="Times New Roman"/>
          <w:spacing w:val="-6"/>
          <w:highlight w:val="none"/>
        </w:rPr>
      </w:pPr>
    </w:p>
    <w:tbl>
      <w:tblPr>
        <w:tblStyle w:val="8"/>
        <w:tblW w:w="14735" w:type="dxa"/>
        <w:tblInd w:w="6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2"/>
        <w:gridCol w:w="1043"/>
        <w:gridCol w:w="1035"/>
        <w:gridCol w:w="804"/>
        <w:gridCol w:w="795"/>
        <w:gridCol w:w="804"/>
        <w:gridCol w:w="909"/>
        <w:gridCol w:w="599"/>
        <w:gridCol w:w="796"/>
        <w:gridCol w:w="539"/>
        <w:gridCol w:w="855"/>
        <w:gridCol w:w="1018"/>
        <w:gridCol w:w="906"/>
        <w:gridCol w:w="890"/>
        <w:gridCol w:w="889"/>
        <w:gridCol w:w="894"/>
        <w:gridCol w:w="659"/>
        <w:gridCol w:w="748"/>
      </w:tblGrid>
      <w:tr w14:paraId="7D3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52" w:type="dxa"/>
            <w:vMerge w:val="restart"/>
            <w:tcBorders>
              <w:bottom w:val="nil"/>
            </w:tcBorders>
            <w:vAlign w:val="center"/>
          </w:tcPr>
          <w:p w14:paraId="695EBC2B">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序号</w:t>
            </w:r>
          </w:p>
        </w:tc>
        <w:tc>
          <w:tcPr>
            <w:tcW w:w="1043" w:type="dxa"/>
            <w:vMerge w:val="restart"/>
            <w:tcBorders>
              <w:bottom w:val="nil"/>
            </w:tcBorders>
            <w:vAlign w:val="center"/>
          </w:tcPr>
          <w:p w14:paraId="6962063F">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资产名称</w:t>
            </w:r>
          </w:p>
        </w:tc>
        <w:tc>
          <w:tcPr>
            <w:tcW w:w="1035" w:type="dxa"/>
            <w:vMerge w:val="restart"/>
            <w:tcBorders>
              <w:bottom w:val="nil"/>
            </w:tcBorders>
            <w:vAlign w:val="center"/>
          </w:tcPr>
          <w:p w14:paraId="3A6EED99">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卡片编号</w:t>
            </w:r>
          </w:p>
        </w:tc>
        <w:tc>
          <w:tcPr>
            <w:tcW w:w="3312" w:type="dxa"/>
            <w:gridSpan w:val="4"/>
            <w:vAlign w:val="center"/>
          </w:tcPr>
          <w:p w14:paraId="08B6BE9D">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资产类别</w:t>
            </w:r>
          </w:p>
        </w:tc>
        <w:tc>
          <w:tcPr>
            <w:tcW w:w="599" w:type="dxa"/>
            <w:vMerge w:val="restart"/>
            <w:tcBorders>
              <w:bottom w:val="nil"/>
            </w:tcBorders>
            <w:vAlign w:val="center"/>
          </w:tcPr>
          <w:p w14:paraId="6A90F940">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资产 来源</w:t>
            </w:r>
          </w:p>
        </w:tc>
        <w:tc>
          <w:tcPr>
            <w:tcW w:w="796" w:type="dxa"/>
            <w:vMerge w:val="restart"/>
            <w:tcBorders>
              <w:bottom w:val="nil"/>
            </w:tcBorders>
            <w:vAlign w:val="center"/>
          </w:tcPr>
          <w:p w14:paraId="141A2078">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型号规格</w:t>
            </w:r>
          </w:p>
        </w:tc>
        <w:tc>
          <w:tcPr>
            <w:tcW w:w="539" w:type="dxa"/>
            <w:vMerge w:val="restart"/>
            <w:tcBorders>
              <w:bottom w:val="nil"/>
            </w:tcBorders>
            <w:vAlign w:val="center"/>
          </w:tcPr>
          <w:p w14:paraId="02DA0A03">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计量 单位</w:t>
            </w:r>
          </w:p>
        </w:tc>
        <w:tc>
          <w:tcPr>
            <w:tcW w:w="855" w:type="dxa"/>
            <w:vMerge w:val="restart"/>
            <w:tcBorders>
              <w:bottom w:val="nil"/>
            </w:tcBorders>
            <w:vAlign w:val="center"/>
          </w:tcPr>
          <w:p w14:paraId="086C6E38">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数量</w:t>
            </w:r>
          </w:p>
        </w:tc>
        <w:tc>
          <w:tcPr>
            <w:tcW w:w="1018" w:type="dxa"/>
            <w:vMerge w:val="restart"/>
            <w:tcBorders>
              <w:bottom w:val="nil"/>
            </w:tcBorders>
            <w:vAlign w:val="center"/>
          </w:tcPr>
          <w:p w14:paraId="3833EA7C">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购置</w:t>
            </w:r>
            <w:r>
              <w:rPr>
                <w:rFonts w:hint="eastAsia" w:ascii="Times New Roman" w:hAnsi="Times New Roman" w:eastAsia="宋体" w:cs="Times New Roman"/>
                <w:spacing w:val="-6"/>
                <w:sz w:val="20"/>
                <w:szCs w:val="20"/>
                <w:highlight w:val="none"/>
                <w:lang w:eastAsia="zh-CN"/>
              </w:rPr>
              <w:t>（</w:t>
            </w:r>
            <w:r>
              <w:rPr>
                <w:rFonts w:hint="default" w:ascii="Times New Roman" w:hAnsi="Times New Roman" w:eastAsia="宋体" w:cs="Times New Roman"/>
                <w:spacing w:val="-6"/>
                <w:sz w:val="20"/>
                <w:szCs w:val="20"/>
                <w:highlight w:val="none"/>
              </w:rPr>
              <w:t>投资/ 建造</w:t>
            </w:r>
            <w:r>
              <w:rPr>
                <w:rFonts w:hint="eastAsia" w:ascii="Times New Roman" w:hAnsi="Times New Roman" w:eastAsia="宋体" w:cs="Times New Roman"/>
                <w:spacing w:val="-6"/>
                <w:sz w:val="20"/>
                <w:szCs w:val="20"/>
                <w:highlight w:val="none"/>
                <w:lang w:eastAsia="zh-CN"/>
              </w:rPr>
              <w:t>）</w:t>
            </w:r>
            <w:r>
              <w:rPr>
                <w:rFonts w:hint="default" w:ascii="Times New Roman" w:hAnsi="Times New Roman" w:eastAsia="宋体" w:cs="Times New Roman"/>
                <w:spacing w:val="-6"/>
                <w:sz w:val="20"/>
                <w:szCs w:val="20"/>
                <w:highlight w:val="none"/>
              </w:rPr>
              <w:t>日期</w:t>
            </w:r>
          </w:p>
        </w:tc>
        <w:tc>
          <w:tcPr>
            <w:tcW w:w="3579" w:type="dxa"/>
            <w:gridSpan w:val="4"/>
            <w:vAlign w:val="center"/>
          </w:tcPr>
          <w:p w14:paraId="20C4960B">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价值</w:t>
            </w:r>
          </w:p>
        </w:tc>
        <w:tc>
          <w:tcPr>
            <w:tcW w:w="659" w:type="dxa"/>
            <w:vMerge w:val="restart"/>
            <w:tcBorders>
              <w:bottom w:val="nil"/>
            </w:tcBorders>
            <w:vAlign w:val="center"/>
          </w:tcPr>
          <w:p w14:paraId="18272826">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处置 方式</w:t>
            </w:r>
          </w:p>
        </w:tc>
        <w:tc>
          <w:tcPr>
            <w:tcW w:w="748" w:type="dxa"/>
            <w:vMerge w:val="restart"/>
            <w:tcBorders>
              <w:bottom w:val="nil"/>
            </w:tcBorders>
            <w:vAlign w:val="center"/>
          </w:tcPr>
          <w:p w14:paraId="29B1979F">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备注</w:t>
            </w:r>
          </w:p>
        </w:tc>
      </w:tr>
      <w:tr w14:paraId="20069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552" w:type="dxa"/>
            <w:vMerge w:val="continue"/>
            <w:tcBorders>
              <w:top w:val="nil"/>
            </w:tcBorders>
            <w:vAlign w:val="top"/>
          </w:tcPr>
          <w:p w14:paraId="13984596">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1043" w:type="dxa"/>
            <w:vMerge w:val="continue"/>
            <w:tcBorders>
              <w:top w:val="nil"/>
            </w:tcBorders>
            <w:vAlign w:val="top"/>
          </w:tcPr>
          <w:p w14:paraId="50F042B1">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1035" w:type="dxa"/>
            <w:vMerge w:val="continue"/>
            <w:tcBorders>
              <w:top w:val="nil"/>
            </w:tcBorders>
            <w:vAlign w:val="top"/>
          </w:tcPr>
          <w:p w14:paraId="41A4D3AD">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04" w:type="dxa"/>
            <w:vAlign w:val="center"/>
          </w:tcPr>
          <w:p w14:paraId="436BFDC3">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固定资产</w:t>
            </w:r>
          </w:p>
        </w:tc>
        <w:tc>
          <w:tcPr>
            <w:tcW w:w="795" w:type="dxa"/>
            <w:vAlign w:val="center"/>
          </w:tcPr>
          <w:p w14:paraId="4E57BF57">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无形资产</w:t>
            </w:r>
          </w:p>
        </w:tc>
        <w:tc>
          <w:tcPr>
            <w:tcW w:w="804" w:type="dxa"/>
            <w:vAlign w:val="center"/>
          </w:tcPr>
          <w:p w14:paraId="47EC6878">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对外投资</w:t>
            </w:r>
          </w:p>
        </w:tc>
        <w:tc>
          <w:tcPr>
            <w:tcW w:w="909" w:type="dxa"/>
            <w:vAlign w:val="center"/>
          </w:tcPr>
          <w:p w14:paraId="4CC6E2AB">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存货等其他资产</w:t>
            </w:r>
          </w:p>
        </w:tc>
        <w:tc>
          <w:tcPr>
            <w:tcW w:w="599" w:type="dxa"/>
            <w:vMerge w:val="continue"/>
            <w:tcBorders>
              <w:top w:val="nil"/>
            </w:tcBorders>
            <w:vAlign w:val="top"/>
          </w:tcPr>
          <w:p w14:paraId="5DC601B8">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796" w:type="dxa"/>
            <w:vMerge w:val="continue"/>
            <w:tcBorders>
              <w:top w:val="nil"/>
            </w:tcBorders>
            <w:vAlign w:val="top"/>
          </w:tcPr>
          <w:p w14:paraId="3F78D2BC">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539" w:type="dxa"/>
            <w:vMerge w:val="continue"/>
            <w:tcBorders>
              <w:top w:val="nil"/>
            </w:tcBorders>
            <w:vAlign w:val="top"/>
          </w:tcPr>
          <w:p w14:paraId="40C4041A">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55" w:type="dxa"/>
            <w:vMerge w:val="continue"/>
            <w:tcBorders>
              <w:top w:val="nil"/>
            </w:tcBorders>
            <w:vAlign w:val="top"/>
          </w:tcPr>
          <w:p w14:paraId="1A6F4FB3">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1018" w:type="dxa"/>
            <w:vMerge w:val="continue"/>
            <w:tcBorders>
              <w:top w:val="nil"/>
            </w:tcBorders>
            <w:vAlign w:val="top"/>
          </w:tcPr>
          <w:p w14:paraId="469FA1EF">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906" w:type="dxa"/>
            <w:vAlign w:val="center"/>
          </w:tcPr>
          <w:p w14:paraId="175B4615">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账面原值</w:t>
            </w:r>
          </w:p>
        </w:tc>
        <w:tc>
          <w:tcPr>
            <w:tcW w:w="890" w:type="dxa"/>
            <w:vAlign w:val="center"/>
          </w:tcPr>
          <w:p w14:paraId="57F13C58">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right="0" w:firstLine="0"/>
              <w:jc w:val="center"/>
              <w:textAlignment w:val="baseline"/>
              <w:rPr>
                <w:rFonts w:hint="eastAsia" w:ascii="Times New Roman" w:hAnsi="Times New Roman" w:eastAsia="宋体" w:cs="Times New Roman"/>
                <w:spacing w:val="-6"/>
                <w:sz w:val="20"/>
                <w:szCs w:val="20"/>
                <w:highlight w:val="none"/>
                <w:lang w:eastAsia="zh-CN"/>
              </w:rPr>
            </w:pPr>
            <w:r>
              <w:rPr>
                <w:rFonts w:hint="default" w:ascii="Times New Roman" w:hAnsi="Times New Roman" w:eastAsia="宋体" w:cs="Times New Roman"/>
                <w:spacing w:val="-6"/>
                <w:sz w:val="20"/>
                <w:szCs w:val="20"/>
                <w:highlight w:val="none"/>
              </w:rPr>
              <w:t xml:space="preserve">已计提折旧 </w:t>
            </w:r>
            <w:r>
              <w:rPr>
                <w:rFonts w:hint="eastAsia" w:ascii="Times New Roman" w:hAnsi="Times New Roman" w:eastAsia="宋体" w:cs="Times New Roman"/>
                <w:spacing w:val="-6"/>
                <w:sz w:val="20"/>
                <w:szCs w:val="20"/>
                <w:highlight w:val="none"/>
                <w:lang w:eastAsia="zh-CN"/>
              </w:rPr>
              <w:t>（</w:t>
            </w:r>
            <w:r>
              <w:rPr>
                <w:rFonts w:hint="default" w:ascii="Times New Roman" w:hAnsi="Times New Roman" w:eastAsia="宋体" w:cs="Times New Roman"/>
                <w:spacing w:val="-6"/>
                <w:sz w:val="20"/>
                <w:szCs w:val="20"/>
                <w:highlight w:val="none"/>
              </w:rPr>
              <w:t>摊销</w:t>
            </w:r>
            <w:r>
              <w:rPr>
                <w:rFonts w:hint="eastAsia" w:ascii="Times New Roman" w:hAnsi="Times New Roman" w:eastAsia="宋体" w:cs="Times New Roman"/>
                <w:spacing w:val="-6"/>
                <w:sz w:val="20"/>
                <w:szCs w:val="20"/>
                <w:highlight w:val="none"/>
                <w:lang w:eastAsia="zh-CN"/>
              </w:rPr>
              <w:t>）</w:t>
            </w:r>
          </w:p>
        </w:tc>
        <w:tc>
          <w:tcPr>
            <w:tcW w:w="889" w:type="dxa"/>
            <w:vAlign w:val="center"/>
          </w:tcPr>
          <w:p w14:paraId="5A8DEA09">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账面净值</w:t>
            </w:r>
          </w:p>
        </w:tc>
        <w:tc>
          <w:tcPr>
            <w:tcW w:w="894" w:type="dxa"/>
            <w:vAlign w:val="center"/>
          </w:tcPr>
          <w:p w14:paraId="2405B607">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right="0" w:firstLine="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评估价值</w:t>
            </w:r>
          </w:p>
        </w:tc>
        <w:tc>
          <w:tcPr>
            <w:tcW w:w="659" w:type="dxa"/>
            <w:vMerge w:val="continue"/>
            <w:tcBorders>
              <w:top w:val="nil"/>
            </w:tcBorders>
            <w:vAlign w:val="top"/>
          </w:tcPr>
          <w:p w14:paraId="299029EF">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748" w:type="dxa"/>
            <w:vMerge w:val="continue"/>
            <w:tcBorders>
              <w:top w:val="nil"/>
            </w:tcBorders>
            <w:vAlign w:val="top"/>
          </w:tcPr>
          <w:p w14:paraId="4329A877">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r>
      <w:tr w14:paraId="67A3E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52" w:type="dxa"/>
            <w:vAlign w:val="top"/>
          </w:tcPr>
          <w:p w14:paraId="5CBF1F18">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1043" w:type="dxa"/>
            <w:vAlign w:val="top"/>
          </w:tcPr>
          <w:p w14:paraId="23AEB691">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1035" w:type="dxa"/>
            <w:vAlign w:val="top"/>
          </w:tcPr>
          <w:p w14:paraId="6E70DA5E">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04" w:type="dxa"/>
            <w:vAlign w:val="top"/>
          </w:tcPr>
          <w:p w14:paraId="3EA82955">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795" w:type="dxa"/>
            <w:vAlign w:val="top"/>
          </w:tcPr>
          <w:p w14:paraId="578D58C2">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04" w:type="dxa"/>
            <w:vAlign w:val="top"/>
          </w:tcPr>
          <w:p w14:paraId="3C486730">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909" w:type="dxa"/>
            <w:vAlign w:val="top"/>
          </w:tcPr>
          <w:p w14:paraId="71A35FB0">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599" w:type="dxa"/>
            <w:vAlign w:val="top"/>
          </w:tcPr>
          <w:p w14:paraId="6A757B82">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796" w:type="dxa"/>
            <w:vAlign w:val="top"/>
          </w:tcPr>
          <w:p w14:paraId="5139A2AD">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539" w:type="dxa"/>
            <w:vAlign w:val="top"/>
          </w:tcPr>
          <w:p w14:paraId="441D0DF3">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55" w:type="dxa"/>
            <w:vAlign w:val="top"/>
          </w:tcPr>
          <w:p w14:paraId="0F7D5FFA">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1018" w:type="dxa"/>
            <w:vAlign w:val="top"/>
          </w:tcPr>
          <w:p w14:paraId="06621B07">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906" w:type="dxa"/>
            <w:vAlign w:val="top"/>
          </w:tcPr>
          <w:p w14:paraId="11A1D902">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90" w:type="dxa"/>
            <w:vAlign w:val="top"/>
          </w:tcPr>
          <w:p w14:paraId="3AE51497">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89" w:type="dxa"/>
            <w:vAlign w:val="top"/>
          </w:tcPr>
          <w:p w14:paraId="49726F44">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94" w:type="dxa"/>
            <w:vAlign w:val="top"/>
          </w:tcPr>
          <w:p w14:paraId="529CDE4E">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659" w:type="dxa"/>
            <w:vAlign w:val="top"/>
          </w:tcPr>
          <w:p w14:paraId="41979618">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748" w:type="dxa"/>
            <w:vAlign w:val="top"/>
          </w:tcPr>
          <w:p w14:paraId="71ED4A4F">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r>
      <w:tr w14:paraId="5D35E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52" w:type="dxa"/>
            <w:vAlign w:val="top"/>
          </w:tcPr>
          <w:p w14:paraId="6D90718D">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1043" w:type="dxa"/>
            <w:vAlign w:val="top"/>
          </w:tcPr>
          <w:p w14:paraId="547504AA">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1035" w:type="dxa"/>
            <w:vAlign w:val="top"/>
          </w:tcPr>
          <w:p w14:paraId="0C8D47A9">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04" w:type="dxa"/>
            <w:vAlign w:val="top"/>
          </w:tcPr>
          <w:p w14:paraId="07BF7E22">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795" w:type="dxa"/>
            <w:vAlign w:val="top"/>
          </w:tcPr>
          <w:p w14:paraId="037AA3EE">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04" w:type="dxa"/>
            <w:vAlign w:val="top"/>
          </w:tcPr>
          <w:p w14:paraId="5686FCC2">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909" w:type="dxa"/>
            <w:vAlign w:val="top"/>
          </w:tcPr>
          <w:p w14:paraId="2716C0C8">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599" w:type="dxa"/>
            <w:vAlign w:val="top"/>
          </w:tcPr>
          <w:p w14:paraId="14F58BED">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796" w:type="dxa"/>
            <w:vAlign w:val="top"/>
          </w:tcPr>
          <w:p w14:paraId="3E555118">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539" w:type="dxa"/>
            <w:vAlign w:val="top"/>
          </w:tcPr>
          <w:p w14:paraId="3900EEA3">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55" w:type="dxa"/>
            <w:vAlign w:val="top"/>
          </w:tcPr>
          <w:p w14:paraId="27C89872">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1018" w:type="dxa"/>
            <w:vAlign w:val="top"/>
          </w:tcPr>
          <w:p w14:paraId="5524E65A">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906" w:type="dxa"/>
            <w:vAlign w:val="top"/>
          </w:tcPr>
          <w:p w14:paraId="523CF254">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90" w:type="dxa"/>
            <w:vAlign w:val="top"/>
          </w:tcPr>
          <w:p w14:paraId="4CAE1DDF">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89" w:type="dxa"/>
            <w:vAlign w:val="top"/>
          </w:tcPr>
          <w:p w14:paraId="0AB546DD">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94" w:type="dxa"/>
            <w:vAlign w:val="top"/>
          </w:tcPr>
          <w:p w14:paraId="763E6B2C">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659" w:type="dxa"/>
            <w:vAlign w:val="top"/>
          </w:tcPr>
          <w:p w14:paraId="7F72F494">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748" w:type="dxa"/>
            <w:vAlign w:val="top"/>
          </w:tcPr>
          <w:p w14:paraId="7E101C79">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r>
      <w:tr w14:paraId="23EEF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52" w:type="dxa"/>
            <w:vAlign w:val="top"/>
          </w:tcPr>
          <w:p w14:paraId="61A2BB1B">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1043" w:type="dxa"/>
            <w:vAlign w:val="top"/>
          </w:tcPr>
          <w:p w14:paraId="7B2D4DCA">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1035" w:type="dxa"/>
            <w:vAlign w:val="top"/>
          </w:tcPr>
          <w:p w14:paraId="5CBF2FEA">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04" w:type="dxa"/>
            <w:vAlign w:val="top"/>
          </w:tcPr>
          <w:p w14:paraId="6C8C294A">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795" w:type="dxa"/>
            <w:vAlign w:val="top"/>
          </w:tcPr>
          <w:p w14:paraId="55FBEEB0">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04" w:type="dxa"/>
            <w:vAlign w:val="top"/>
          </w:tcPr>
          <w:p w14:paraId="2E39D407">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909" w:type="dxa"/>
            <w:vAlign w:val="top"/>
          </w:tcPr>
          <w:p w14:paraId="6669EB25">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599" w:type="dxa"/>
            <w:vAlign w:val="top"/>
          </w:tcPr>
          <w:p w14:paraId="4DE4090D">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796" w:type="dxa"/>
            <w:vAlign w:val="top"/>
          </w:tcPr>
          <w:p w14:paraId="1B727AEC">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539" w:type="dxa"/>
            <w:vAlign w:val="top"/>
          </w:tcPr>
          <w:p w14:paraId="6DC394CF">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55" w:type="dxa"/>
            <w:vAlign w:val="top"/>
          </w:tcPr>
          <w:p w14:paraId="7262D455">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1018" w:type="dxa"/>
            <w:vAlign w:val="top"/>
          </w:tcPr>
          <w:p w14:paraId="28A4C1EB">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906" w:type="dxa"/>
            <w:vAlign w:val="top"/>
          </w:tcPr>
          <w:p w14:paraId="4A8C68D6">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90" w:type="dxa"/>
            <w:vAlign w:val="top"/>
          </w:tcPr>
          <w:p w14:paraId="1C9B5B34">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89" w:type="dxa"/>
            <w:vAlign w:val="top"/>
          </w:tcPr>
          <w:p w14:paraId="5B7BE8FA">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894" w:type="dxa"/>
            <w:vAlign w:val="top"/>
          </w:tcPr>
          <w:p w14:paraId="79D8D68D">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659" w:type="dxa"/>
            <w:vAlign w:val="top"/>
          </w:tcPr>
          <w:p w14:paraId="26DA36EE">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c>
          <w:tcPr>
            <w:tcW w:w="748" w:type="dxa"/>
            <w:vAlign w:val="top"/>
          </w:tcPr>
          <w:p w14:paraId="4E31F6EE">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r>
      <w:tr w14:paraId="00D48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95" w:type="dxa"/>
            <w:gridSpan w:val="2"/>
            <w:vAlign w:val="top"/>
          </w:tcPr>
          <w:p w14:paraId="7E9251ED">
            <w:pPr>
              <w:keepNext w:val="0"/>
              <w:keepLines w:val="0"/>
              <w:pageBreakBefore w:val="0"/>
              <w:widowControl w:val="0"/>
              <w:kinsoku w:val="0"/>
              <w:wordWrap/>
              <w:overflowPunct w:val="0"/>
              <w:topLinePunct w:val="0"/>
              <w:autoSpaceDE w:val="0"/>
              <w:autoSpaceDN w:val="0"/>
              <w:bidi w:val="0"/>
              <w:adjustRightInd w:val="0"/>
              <w:snapToGrid w:val="0"/>
              <w:spacing w:before="65" w:line="222" w:lineRule="auto"/>
              <w:ind w:firstLine="376" w:firstLineChars="200"/>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处置原因</w:t>
            </w:r>
          </w:p>
        </w:tc>
        <w:tc>
          <w:tcPr>
            <w:tcW w:w="13140" w:type="dxa"/>
            <w:gridSpan w:val="16"/>
            <w:vAlign w:val="top"/>
          </w:tcPr>
          <w:p w14:paraId="0513C261">
            <w:pPr>
              <w:pStyle w:val="9"/>
              <w:keepNext w:val="0"/>
              <w:keepLines w:val="0"/>
              <w:pageBreakBefore w:val="0"/>
              <w:widowControl w:val="0"/>
              <w:kinsoku w:val="0"/>
              <w:wordWrap/>
              <w:overflowPunct w:val="0"/>
              <w:topLinePunct w:val="0"/>
              <w:autoSpaceDE w:val="0"/>
              <w:autoSpaceDN w:val="0"/>
              <w:bidi w:val="0"/>
              <w:adjustRightInd w:val="0"/>
              <w:snapToGrid w:val="0"/>
              <w:textAlignment w:val="baseline"/>
              <w:rPr>
                <w:rFonts w:hint="default" w:ascii="Times New Roman" w:hAnsi="Times New Roman" w:cs="Times New Roman"/>
                <w:spacing w:val="-6"/>
                <w:highlight w:val="none"/>
              </w:rPr>
            </w:pPr>
          </w:p>
        </w:tc>
      </w:tr>
      <w:tr w14:paraId="05DD7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9" w:hRule="atLeast"/>
        </w:trPr>
        <w:tc>
          <w:tcPr>
            <w:tcW w:w="1595" w:type="dxa"/>
            <w:gridSpan w:val="2"/>
            <w:vAlign w:val="top"/>
          </w:tcPr>
          <w:p w14:paraId="487DE40B">
            <w:pPr>
              <w:pStyle w:val="9"/>
              <w:keepNext w:val="0"/>
              <w:keepLines w:val="0"/>
              <w:pageBreakBefore w:val="0"/>
              <w:widowControl w:val="0"/>
              <w:kinsoku w:val="0"/>
              <w:wordWrap/>
              <w:overflowPunct w:val="0"/>
              <w:topLinePunct w:val="0"/>
              <w:autoSpaceDE w:val="0"/>
              <w:autoSpaceDN w:val="0"/>
              <w:bidi w:val="0"/>
              <w:adjustRightInd w:val="0"/>
              <w:snapToGrid w:val="0"/>
              <w:spacing w:line="291" w:lineRule="auto"/>
              <w:textAlignment w:val="baseline"/>
              <w:rPr>
                <w:rFonts w:hint="default" w:ascii="Times New Roman" w:hAnsi="Times New Roman" w:cs="Times New Roman"/>
                <w:spacing w:val="-6"/>
                <w:highlight w:val="none"/>
              </w:rPr>
            </w:pPr>
          </w:p>
          <w:p w14:paraId="6707EB79">
            <w:pPr>
              <w:pStyle w:val="9"/>
              <w:keepNext w:val="0"/>
              <w:keepLines w:val="0"/>
              <w:pageBreakBefore w:val="0"/>
              <w:widowControl w:val="0"/>
              <w:kinsoku w:val="0"/>
              <w:wordWrap/>
              <w:overflowPunct w:val="0"/>
              <w:topLinePunct w:val="0"/>
              <w:autoSpaceDE w:val="0"/>
              <w:autoSpaceDN w:val="0"/>
              <w:bidi w:val="0"/>
              <w:adjustRightInd w:val="0"/>
              <w:snapToGrid w:val="0"/>
              <w:spacing w:line="291" w:lineRule="auto"/>
              <w:textAlignment w:val="baseline"/>
              <w:rPr>
                <w:rFonts w:hint="default" w:ascii="Times New Roman" w:hAnsi="Times New Roman" w:cs="Times New Roman"/>
                <w:spacing w:val="-6"/>
                <w:highlight w:val="none"/>
              </w:rPr>
            </w:pPr>
          </w:p>
          <w:p w14:paraId="39454B1E">
            <w:pPr>
              <w:keepNext w:val="0"/>
              <w:keepLines w:val="0"/>
              <w:pageBreakBefore w:val="0"/>
              <w:widowControl w:val="0"/>
              <w:kinsoku w:val="0"/>
              <w:wordWrap/>
              <w:overflowPunct w:val="0"/>
              <w:topLinePunct w:val="0"/>
              <w:autoSpaceDE w:val="0"/>
              <w:autoSpaceDN w:val="0"/>
              <w:bidi w:val="0"/>
              <w:adjustRightInd w:val="0"/>
              <w:snapToGrid w:val="0"/>
              <w:spacing w:before="65" w:line="219" w:lineRule="auto"/>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行政事业单位意见</w:t>
            </w:r>
          </w:p>
        </w:tc>
        <w:tc>
          <w:tcPr>
            <w:tcW w:w="1035" w:type="dxa"/>
            <w:vAlign w:val="center"/>
          </w:tcPr>
          <w:p w14:paraId="65F32BB8">
            <w:pPr>
              <w:keepNext w:val="0"/>
              <w:keepLines w:val="0"/>
              <w:pageBreakBefore w:val="0"/>
              <w:widowControl w:val="0"/>
              <w:kinsoku w:val="0"/>
              <w:wordWrap/>
              <w:overflowPunct w:val="0"/>
              <w:topLinePunct w:val="0"/>
              <w:autoSpaceDE w:val="0"/>
              <w:autoSpaceDN w:val="0"/>
              <w:bidi w:val="0"/>
              <w:adjustRightInd w:val="0"/>
              <w:snapToGrid w:val="0"/>
              <w:spacing w:line="212" w:lineRule="auto"/>
              <w:ind w:left="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资产管理部门负责人</w:t>
            </w:r>
          </w:p>
          <w:p w14:paraId="2A023AE7">
            <w:pPr>
              <w:keepNext w:val="0"/>
              <w:keepLines w:val="0"/>
              <w:pageBreakBefore w:val="0"/>
              <w:widowControl w:val="0"/>
              <w:kinsoku w:val="0"/>
              <w:wordWrap/>
              <w:overflowPunct w:val="0"/>
              <w:topLinePunct w:val="0"/>
              <w:autoSpaceDE w:val="0"/>
              <w:autoSpaceDN w:val="0"/>
              <w:bidi w:val="0"/>
              <w:adjustRightInd w:val="0"/>
              <w:snapToGrid w:val="0"/>
              <w:spacing w:line="212" w:lineRule="auto"/>
              <w:ind w:left="0"/>
              <w:jc w:val="center"/>
              <w:textAlignment w:val="baseline"/>
              <w:rPr>
                <w:rFonts w:hint="eastAsia" w:ascii="Times New Roman" w:hAnsi="Times New Roman" w:eastAsia="宋体" w:cs="Times New Roman"/>
                <w:spacing w:val="-6"/>
                <w:sz w:val="20"/>
                <w:szCs w:val="20"/>
                <w:highlight w:val="none"/>
                <w:lang w:eastAsia="zh-CN"/>
              </w:rPr>
            </w:pPr>
            <w:r>
              <w:rPr>
                <w:rFonts w:hint="eastAsia" w:ascii="Times New Roman" w:hAnsi="Times New Roman" w:eastAsia="宋体" w:cs="Times New Roman"/>
                <w:spacing w:val="-6"/>
                <w:sz w:val="20"/>
                <w:szCs w:val="20"/>
                <w:highlight w:val="none"/>
                <w:lang w:eastAsia="zh-CN"/>
              </w:rPr>
              <w:t>（</w:t>
            </w:r>
            <w:r>
              <w:rPr>
                <w:rFonts w:hint="default" w:ascii="Times New Roman" w:hAnsi="Times New Roman" w:eastAsia="宋体" w:cs="Times New Roman"/>
                <w:spacing w:val="-6"/>
                <w:sz w:val="20"/>
                <w:szCs w:val="20"/>
                <w:highlight w:val="none"/>
              </w:rPr>
              <w:t>签章</w:t>
            </w:r>
            <w:r>
              <w:rPr>
                <w:rFonts w:hint="eastAsia" w:ascii="Times New Roman" w:hAnsi="Times New Roman" w:eastAsia="宋体" w:cs="Times New Roman"/>
                <w:spacing w:val="-6"/>
                <w:sz w:val="20"/>
                <w:szCs w:val="20"/>
                <w:highlight w:val="none"/>
                <w:lang w:eastAsia="zh-CN"/>
              </w:rPr>
              <w:t>）</w:t>
            </w:r>
          </w:p>
        </w:tc>
        <w:tc>
          <w:tcPr>
            <w:tcW w:w="4707" w:type="dxa"/>
            <w:gridSpan w:val="6"/>
            <w:vAlign w:val="top"/>
          </w:tcPr>
          <w:p w14:paraId="65EE2011">
            <w:pPr>
              <w:pStyle w:val="9"/>
              <w:keepNext w:val="0"/>
              <w:keepLines w:val="0"/>
              <w:pageBreakBefore w:val="0"/>
              <w:widowControl w:val="0"/>
              <w:kinsoku w:val="0"/>
              <w:wordWrap/>
              <w:overflowPunct w:val="0"/>
              <w:topLinePunct w:val="0"/>
              <w:autoSpaceDE w:val="0"/>
              <w:autoSpaceDN w:val="0"/>
              <w:bidi w:val="0"/>
              <w:adjustRightInd w:val="0"/>
              <w:snapToGrid w:val="0"/>
              <w:spacing w:line="246" w:lineRule="auto"/>
              <w:textAlignment w:val="baseline"/>
              <w:rPr>
                <w:rFonts w:hint="default" w:ascii="Times New Roman" w:hAnsi="Times New Roman" w:cs="Times New Roman"/>
                <w:spacing w:val="-6"/>
                <w:highlight w:val="none"/>
              </w:rPr>
            </w:pPr>
          </w:p>
          <w:p w14:paraId="7B5DE9E9">
            <w:pPr>
              <w:pStyle w:val="9"/>
              <w:keepNext w:val="0"/>
              <w:keepLines w:val="0"/>
              <w:pageBreakBefore w:val="0"/>
              <w:widowControl w:val="0"/>
              <w:kinsoku w:val="0"/>
              <w:wordWrap/>
              <w:overflowPunct w:val="0"/>
              <w:topLinePunct w:val="0"/>
              <w:autoSpaceDE w:val="0"/>
              <w:autoSpaceDN w:val="0"/>
              <w:bidi w:val="0"/>
              <w:adjustRightInd w:val="0"/>
              <w:snapToGrid w:val="0"/>
              <w:spacing w:line="246" w:lineRule="auto"/>
              <w:textAlignment w:val="baseline"/>
              <w:rPr>
                <w:rFonts w:hint="default" w:ascii="Times New Roman" w:hAnsi="Times New Roman" w:cs="Times New Roman"/>
                <w:spacing w:val="-6"/>
                <w:highlight w:val="none"/>
              </w:rPr>
            </w:pPr>
          </w:p>
          <w:p w14:paraId="615C5B85">
            <w:pPr>
              <w:pStyle w:val="9"/>
              <w:keepNext w:val="0"/>
              <w:keepLines w:val="0"/>
              <w:pageBreakBefore w:val="0"/>
              <w:widowControl w:val="0"/>
              <w:kinsoku w:val="0"/>
              <w:wordWrap/>
              <w:overflowPunct w:val="0"/>
              <w:topLinePunct w:val="0"/>
              <w:autoSpaceDE w:val="0"/>
              <w:autoSpaceDN w:val="0"/>
              <w:bidi w:val="0"/>
              <w:adjustRightInd w:val="0"/>
              <w:snapToGrid w:val="0"/>
              <w:spacing w:line="247" w:lineRule="auto"/>
              <w:textAlignment w:val="baseline"/>
              <w:rPr>
                <w:rFonts w:hint="default" w:ascii="Times New Roman" w:hAnsi="Times New Roman" w:cs="Times New Roman"/>
                <w:spacing w:val="-6"/>
                <w:highlight w:val="none"/>
              </w:rPr>
            </w:pPr>
          </w:p>
          <w:p w14:paraId="2B72B32D">
            <w:pPr>
              <w:pStyle w:val="9"/>
              <w:keepNext w:val="0"/>
              <w:keepLines w:val="0"/>
              <w:pageBreakBefore w:val="0"/>
              <w:widowControl w:val="0"/>
              <w:kinsoku w:val="0"/>
              <w:wordWrap/>
              <w:overflowPunct w:val="0"/>
              <w:topLinePunct w:val="0"/>
              <w:autoSpaceDE w:val="0"/>
              <w:autoSpaceDN w:val="0"/>
              <w:bidi w:val="0"/>
              <w:adjustRightInd w:val="0"/>
              <w:snapToGrid w:val="0"/>
              <w:spacing w:line="247" w:lineRule="auto"/>
              <w:textAlignment w:val="baseline"/>
              <w:rPr>
                <w:rFonts w:hint="default" w:ascii="Times New Roman" w:hAnsi="Times New Roman" w:cs="Times New Roman"/>
                <w:spacing w:val="-6"/>
                <w:highlight w:val="none"/>
              </w:rPr>
            </w:pPr>
          </w:p>
          <w:p w14:paraId="2589056D">
            <w:pPr>
              <w:pStyle w:val="9"/>
              <w:keepNext w:val="0"/>
              <w:keepLines w:val="0"/>
              <w:pageBreakBefore w:val="0"/>
              <w:widowControl w:val="0"/>
              <w:kinsoku w:val="0"/>
              <w:wordWrap/>
              <w:overflowPunct w:val="0"/>
              <w:topLinePunct w:val="0"/>
              <w:autoSpaceDE w:val="0"/>
              <w:autoSpaceDN w:val="0"/>
              <w:bidi w:val="0"/>
              <w:adjustRightInd w:val="0"/>
              <w:snapToGrid w:val="0"/>
              <w:spacing w:line="247" w:lineRule="auto"/>
              <w:textAlignment w:val="baseline"/>
              <w:rPr>
                <w:rFonts w:hint="default" w:ascii="Times New Roman" w:hAnsi="Times New Roman" w:cs="Times New Roman"/>
                <w:spacing w:val="-6"/>
                <w:highlight w:val="none"/>
              </w:rPr>
            </w:pPr>
          </w:p>
          <w:p w14:paraId="3EAFEB30">
            <w:pPr>
              <w:keepNext w:val="0"/>
              <w:keepLines w:val="0"/>
              <w:pageBreakBefore w:val="0"/>
              <w:widowControl w:val="0"/>
              <w:kinsoku w:val="0"/>
              <w:wordWrap/>
              <w:overflowPunct w:val="0"/>
              <w:topLinePunct w:val="0"/>
              <w:autoSpaceDE w:val="0"/>
              <w:autoSpaceDN w:val="0"/>
              <w:bidi w:val="0"/>
              <w:adjustRightInd w:val="0"/>
              <w:snapToGrid w:val="0"/>
              <w:spacing w:before="65" w:line="219" w:lineRule="auto"/>
              <w:ind w:firstLine="2820" w:firstLineChars="1500"/>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年     月     日</w:t>
            </w:r>
          </w:p>
        </w:tc>
        <w:tc>
          <w:tcPr>
            <w:tcW w:w="1394" w:type="dxa"/>
            <w:gridSpan w:val="2"/>
            <w:vAlign w:val="center"/>
          </w:tcPr>
          <w:p w14:paraId="6F84DEE3">
            <w:pPr>
              <w:keepNext w:val="0"/>
              <w:keepLines w:val="0"/>
              <w:pageBreakBefore w:val="0"/>
              <w:widowControl w:val="0"/>
              <w:kinsoku w:val="0"/>
              <w:wordWrap/>
              <w:overflowPunct w:val="0"/>
              <w:topLinePunct w:val="0"/>
              <w:autoSpaceDE w:val="0"/>
              <w:autoSpaceDN w:val="0"/>
              <w:bidi w:val="0"/>
              <w:adjustRightInd w:val="0"/>
              <w:snapToGrid w:val="0"/>
              <w:spacing w:line="224" w:lineRule="auto"/>
              <w:ind w:right="0"/>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单位负责人</w:t>
            </w:r>
          </w:p>
          <w:p w14:paraId="65EF8866">
            <w:pPr>
              <w:keepNext w:val="0"/>
              <w:keepLines w:val="0"/>
              <w:pageBreakBefore w:val="0"/>
              <w:widowControl w:val="0"/>
              <w:kinsoku w:val="0"/>
              <w:wordWrap/>
              <w:overflowPunct w:val="0"/>
              <w:topLinePunct w:val="0"/>
              <w:autoSpaceDE w:val="0"/>
              <w:autoSpaceDN w:val="0"/>
              <w:bidi w:val="0"/>
              <w:adjustRightInd w:val="0"/>
              <w:snapToGrid w:val="0"/>
              <w:spacing w:line="224" w:lineRule="auto"/>
              <w:ind w:right="0"/>
              <w:jc w:val="center"/>
              <w:textAlignment w:val="baseline"/>
              <w:rPr>
                <w:rFonts w:hint="eastAsia" w:ascii="Times New Roman" w:hAnsi="Times New Roman" w:eastAsia="宋体" w:cs="Times New Roman"/>
                <w:spacing w:val="-6"/>
                <w:sz w:val="20"/>
                <w:szCs w:val="20"/>
                <w:highlight w:val="none"/>
                <w:lang w:eastAsia="zh-CN"/>
              </w:rPr>
            </w:pPr>
            <w:r>
              <w:rPr>
                <w:rFonts w:hint="default" w:ascii="Times New Roman" w:hAnsi="Times New Roman" w:eastAsia="宋体" w:cs="Times New Roman"/>
                <w:spacing w:val="-6"/>
                <w:sz w:val="20"/>
                <w:szCs w:val="20"/>
                <w:highlight w:val="none"/>
              </w:rPr>
              <w:t xml:space="preserve"> </w:t>
            </w:r>
            <w:r>
              <w:rPr>
                <w:rFonts w:hint="eastAsia" w:ascii="Times New Roman" w:hAnsi="Times New Roman" w:eastAsia="宋体" w:cs="Times New Roman"/>
                <w:spacing w:val="-6"/>
                <w:sz w:val="20"/>
                <w:szCs w:val="20"/>
                <w:highlight w:val="none"/>
                <w:lang w:eastAsia="zh-CN"/>
              </w:rPr>
              <w:t>（</w:t>
            </w:r>
            <w:r>
              <w:rPr>
                <w:rFonts w:hint="default" w:ascii="Times New Roman" w:hAnsi="Times New Roman" w:eastAsia="宋体" w:cs="Times New Roman"/>
                <w:spacing w:val="-6"/>
                <w:sz w:val="20"/>
                <w:szCs w:val="20"/>
                <w:highlight w:val="none"/>
              </w:rPr>
              <w:t>签章</w:t>
            </w:r>
            <w:r>
              <w:rPr>
                <w:rFonts w:hint="eastAsia" w:ascii="Times New Roman" w:hAnsi="Times New Roman" w:eastAsia="宋体" w:cs="Times New Roman"/>
                <w:spacing w:val="-6"/>
                <w:sz w:val="20"/>
                <w:szCs w:val="20"/>
                <w:highlight w:val="none"/>
                <w:lang w:eastAsia="zh-CN"/>
              </w:rPr>
              <w:t>）</w:t>
            </w:r>
          </w:p>
        </w:tc>
        <w:tc>
          <w:tcPr>
            <w:tcW w:w="6004" w:type="dxa"/>
            <w:gridSpan w:val="7"/>
            <w:vAlign w:val="top"/>
          </w:tcPr>
          <w:p w14:paraId="1E1094D6">
            <w:pPr>
              <w:pStyle w:val="9"/>
              <w:keepNext w:val="0"/>
              <w:keepLines w:val="0"/>
              <w:pageBreakBefore w:val="0"/>
              <w:widowControl w:val="0"/>
              <w:kinsoku w:val="0"/>
              <w:wordWrap/>
              <w:overflowPunct w:val="0"/>
              <w:topLinePunct w:val="0"/>
              <w:autoSpaceDE w:val="0"/>
              <w:autoSpaceDN w:val="0"/>
              <w:bidi w:val="0"/>
              <w:adjustRightInd w:val="0"/>
              <w:snapToGrid w:val="0"/>
              <w:spacing w:line="245" w:lineRule="auto"/>
              <w:textAlignment w:val="baseline"/>
              <w:rPr>
                <w:rFonts w:hint="default" w:ascii="Times New Roman" w:hAnsi="Times New Roman" w:cs="Times New Roman"/>
                <w:spacing w:val="-6"/>
                <w:highlight w:val="none"/>
              </w:rPr>
            </w:pPr>
          </w:p>
          <w:p w14:paraId="007A215E">
            <w:pPr>
              <w:pStyle w:val="9"/>
              <w:keepNext w:val="0"/>
              <w:keepLines w:val="0"/>
              <w:pageBreakBefore w:val="0"/>
              <w:widowControl w:val="0"/>
              <w:kinsoku w:val="0"/>
              <w:wordWrap/>
              <w:overflowPunct w:val="0"/>
              <w:topLinePunct w:val="0"/>
              <w:autoSpaceDE w:val="0"/>
              <w:autoSpaceDN w:val="0"/>
              <w:bidi w:val="0"/>
              <w:adjustRightInd w:val="0"/>
              <w:snapToGrid w:val="0"/>
              <w:spacing w:line="245" w:lineRule="auto"/>
              <w:textAlignment w:val="baseline"/>
              <w:rPr>
                <w:rFonts w:hint="default" w:ascii="Times New Roman" w:hAnsi="Times New Roman" w:cs="Times New Roman"/>
                <w:spacing w:val="-6"/>
                <w:highlight w:val="none"/>
              </w:rPr>
            </w:pPr>
          </w:p>
          <w:p w14:paraId="75039892">
            <w:pPr>
              <w:pStyle w:val="9"/>
              <w:keepNext w:val="0"/>
              <w:keepLines w:val="0"/>
              <w:pageBreakBefore w:val="0"/>
              <w:widowControl w:val="0"/>
              <w:kinsoku w:val="0"/>
              <w:wordWrap/>
              <w:overflowPunct w:val="0"/>
              <w:topLinePunct w:val="0"/>
              <w:autoSpaceDE w:val="0"/>
              <w:autoSpaceDN w:val="0"/>
              <w:bidi w:val="0"/>
              <w:adjustRightInd w:val="0"/>
              <w:snapToGrid w:val="0"/>
              <w:spacing w:line="245" w:lineRule="auto"/>
              <w:textAlignment w:val="baseline"/>
              <w:rPr>
                <w:rFonts w:hint="default" w:ascii="Times New Roman" w:hAnsi="Times New Roman" w:cs="Times New Roman"/>
                <w:spacing w:val="-6"/>
                <w:highlight w:val="none"/>
              </w:rPr>
            </w:pPr>
          </w:p>
          <w:p w14:paraId="4010528F">
            <w:pPr>
              <w:pStyle w:val="9"/>
              <w:keepNext w:val="0"/>
              <w:keepLines w:val="0"/>
              <w:pageBreakBefore w:val="0"/>
              <w:widowControl w:val="0"/>
              <w:kinsoku w:val="0"/>
              <w:wordWrap/>
              <w:overflowPunct w:val="0"/>
              <w:topLinePunct w:val="0"/>
              <w:autoSpaceDE w:val="0"/>
              <w:autoSpaceDN w:val="0"/>
              <w:bidi w:val="0"/>
              <w:adjustRightInd w:val="0"/>
              <w:snapToGrid w:val="0"/>
              <w:spacing w:line="246" w:lineRule="auto"/>
              <w:textAlignment w:val="baseline"/>
              <w:rPr>
                <w:rFonts w:hint="default" w:ascii="Times New Roman" w:hAnsi="Times New Roman" w:cs="Times New Roman"/>
                <w:spacing w:val="-6"/>
                <w:highlight w:val="none"/>
              </w:rPr>
            </w:pPr>
          </w:p>
          <w:p w14:paraId="54B717BF">
            <w:pPr>
              <w:pStyle w:val="9"/>
              <w:keepNext w:val="0"/>
              <w:keepLines w:val="0"/>
              <w:pageBreakBefore w:val="0"/>
              <w:widowControl w:val="0"/>
              <w:kinsoku w:val="0"/>
              <w:wordWrap/>
              <w:overflowPunct w:val="0"/>
              <w:topLinePunct w:val="0"/>
              <w:autoSpaceDE w:val="0"/>
              <w:autoSpaceDN w:val="0"/>
              <w:bidi w:val="0"/>
              <w:adjustRightInd w:val="0"/>
              <w:snapToGrid w:val="0"/>
              <w:spacing w:line="246" w:lineRule="auto"/>
              <w:textAlignment w:val="baseline"/>
              <w:rPr>
                <w:rFonts w:hint="default" w:ascii="Times New Roman" w:hAnsi="Times New Roman" w:cs="Times New Roman"/>
                <w:spacing w:val="-6"/>
                <w:highlight w:val="none"/>
              </w:rPr>
            </w:pPr>
          </w:p>
          <w:p w14:paraId="47D486AC">
            <w:pPr>
              <w:keepNext w:val="0"/>
              <w:keepLines w:val="0"/>
              <w:pageBreakBefore w:val="0"/>
              <w:widowControl w:val="0"/>
              <w:kinsoku w:val="0"/>
              <w:wordWrap/>
              <w:overflowPunct w:val="0"/>
              <w:topLinePunct w:val="0"/>
              <w:autoSpaceDE w:val="0"/>
              <w:autoSpaceDN w:val="0"/>
              <w:bidi w:val="0"/>
              <w:adjustRightInd w:val="0"/>
              <w:snapToGrid w:val="0"/>
              <w:spacing w:before="65" w:line="219" w:lineRule="auto"/>
              <w:jc w:val="right"/>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年     月     日</w:t>
            </w:r>
          </w:p>
        </w:tc>
      </w:tr>
      <w:tr w14:paraId="200D2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95" w:type="dxa"/>
            <w:gridSpan w:val="2"/>
            <w:vAlign w:val="top"/>
          </w:tcPr>
          <w:p w14:paraId="12857599">
            <w:pPr>
              <w:pStyle w:val="9"/>
              <w:keepNext w:val="0"/>
              <w:keepLines w:val="0"/>
              <w:pageBreakBefore w:val="0"/>
              <w:widowControl w:val="0"/>
              <w:kinsoku w:val="0"/>
              <w:wordWrap/>
              <w:overflowPunct w:val="0"/>
              <w:topLinePunct w:val="0"/>
              <w:autoSpaceDE w:val="0"/>
              <w:autoSpaceDN w:val="0"/>
              <w:bidi w:val="0"/>
              <w:adjustRightInd w:val="0"/>
              <w:snapToGrid w:val="0"/>
              <w:spacing w:line="348" w:lineRule="auto"/>
              <w:textAlignment w:val="baseline"/>
              <w:rPr>
                <w:rFonts w:hint="default" w:ascii="Times New Roman" w:hAnsi="Times New Roman" w:cs="Times New Roman"/>
                <w:spacing w:val="-6"/>
                <w:highlight w:val="none"/>
              </w:rPr>
            </w:pPr>
          </w:p>
          <w:p w14:paraId="047479E3">
            <w:pPr>
              <w:keepNext w:val="0"/>
              <w:keepLines w:val="0"/>
              <w:pageBreakBefore w:val="0"/>
              <w:widowControl w:val="0"/>
              <w:kinsoku w:val="0"/>
              <w:wordWrap/>
              <w:overflowPunct w:val="0"/>
              <w:topLinePunct w:val="0"/>
              <w:autoSpaceDE w:val="0"/>
              <w:autoSpaceDN w:val="0"/>
              <w:bidi w:val="0"/>
              <w:adjustRightInd w:val="0"/>
              <w:snapToGrid w:val="0"/>
              <w:spacing w:before="65" w:line="230" w:lineRule="auto"/>
              <w:ind w:right="161"/>
              <w:jc w:val="center"/>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主管部门审核</w:t>
            </w:r>
            <w:r>
              <w:rPr>
                <w:rFonts w:hint="eastAsia" w:ascii="Times New Roman" w:hAnsi="Times New Roman" w:eastAsia="宋体" w:cs="Times New Roman"/>
                <w:spacing w:val="-6"/>
                <w:sz w:val="20"/>
                <w:szCs w:val="20"/>
                <w:highlight w:val="none"/>
                <w:lang w:eastAsia="zh-CN"/>
              </w:rPr>
              <w:t>（</w:t>
            </w:r>
            <w:r>
              <w:rPr>
                <w:rFonts w:hint="default" w:ascii="Times New Roman" w:hAnsi="Times New Roman" w:eastAsia="宋体" w:cs="Times New Roman"/>
                <w:spacing w:val="-6"/>
                <w:sz w:val="20"/>
                <w:szCs w:val="20"/>
                <w:highlight w:val="none"/>
              </w:rPr>
              <w:t>审 批</w:t>
            </w:r>
            <w:r>
              <w:rPr>
                <w:rFonts w:hint="eastAsia" w:ascii="Times New Roman" w:hAnsi="Times New Roman" w:eastAsia="宋体" w:cs="Times New Roman"/>
                <w:spacing w:val="-6"/>
                <w:sz w:val="20"/>
                <w:szCs w:val="20"/>
                <w:highlight w:val="none"/>
                <w:lang w:eastAsia="zh-CN"/>
              </w:rPr>
              <w:t>）</w:t>
            </w:r>
            <w:r>
              <w:rPr>
                <w:rFonts w:hint="default" w:ascii="Times New Roman" w:hAnsi="Times New Roman" w:eastAsia="宋体" w:cs="Times New Roman"/>
                <w:spacing w:val="-6"/>
                <w:sz w:val="20"/>
                <w:szCs w:val="20"/>
                <w:highlight w:val="none"/>
              </w:rPr>
              <w:t>意见</w:t>
            </w:r>
          </w:p>
        </w:tc>
        <w:tc>
          <w:tcPr>
            <w:tcW w:w="13140" w:type="dxa"/>
            <w:gridSpan w:val="16"/>
            <w:vAlign w:val="top"/>
          </w:tcPr>
          <w:p w14:paraId="69339BED">
            <w:pPr>
              <w:pStyle w:val="9"/>
              <w:keepNext w:val="0"/>
              <w:keepLines w:val="0"/>
              <w:pageBreakBefore w:val="0"/>
              <w:widowControl w:val="0"/>
              <w:kinsoku w:val="0"/>
              <w:wordWrap/>
              <w:overflowPunct w:val="0"/>
              <w:topLinePunct w:val="0"/>
              <w:autoSpaceDE w:val="0"/>
              <w:autoSpaceDN w:val="0"/>
              <w:bidi w:val="0"/>
              <w:adjustRightInd w:val="0"/>
              <w:snapToGrid w:val="0"/>
              <w:spacing w:line="264" w:lineRule="auto"/>
              <w:textAlignment w:val="baseline"/>
              <w:rPr>
                <w:rFonts w:hint="default" w:ascii="Times New Roman" w:hAnsi="Times New Roman" w:eastAsia="宋体" w:cs="Times New Roman"/>
                <w:spacing w:val="-6"/>
                <w:highlight w:val="none"/>
                <w:lang w:eastAsia="zh-CN"/>
              </w:rPr>
            </w:pPr>
          </w:p>
          <w:p w14:paraId="1EE57DBA">
            <w:pPr>
              <w:keepNext w:val="0"/>
              <w:keepLines w:val="0"/>
              <w:pageBreakBefore w:val="0"/>
              <w:widowControl w:val="0"/>
              <w:kinsoku w:val="0"/>
              <w:wordWrap/>
              <w:overflowPunct w:val="0"/>
              <w:topLinePunct w:val="0"/>
              <w:autoSpaceDE w:val="0"/>
              <w:autoSpaceDN w:val="0"/>
              <w:bidi w:val="0"/>
              <w:adjustRightInd w:val="0"/>
              <w:snapToGrid w:val="0"/>
              <w:spacing w:before="65" w:line="219" w:lineRule="auto"/>
              <w:ind w:left="13421"/>
              <w:textAlignment w:val="baseline"/>
              <w:rPr>
                <w:rFonts w:hint="eastAsia" w:ascii="Times New Roman" w:hAnsi="Times New Roman" w:eastAsia="宋体" w:cs="Times New Roman"/>
                <w:spacing w:val="-6"/>
                <w:sz w:val="20"/>
                <w:szCs w:val="20"/>
                <w:highlight w:val="none"/>
                <w:lang w:eastAsia="zh-CN"/>
              </w:rPr>
            </w:pPr>
            <w:r>
              <w:rPr>
                <w:rFonts w:hint="default" w:ascii="Times New Roman" w:hAnsi="Times New Roman" w:eastAsia="宋体" w:cs="Times New Roman"/>
                <w:spacing w:val="-6"/>
                <w:sz w:val="20"/>
                <w:szCs w:val="20"/>
                <w:highlight w:val="none"/>
              </w:rPr>
              <w:t>章</w:t>
            </w:r>
            <w:r>
              <w:rPr>
                <w:rFonts w:hint="eastAsia" w:ascii="Times New Roman" w:hAnsi="Times New Roman" w:eastAsia="宋体" w:cs="Times New Roman"/>
                <w:spacing w:val="-6"/>
                <w:sz w:val="20"/>
                <w:szCs w:val="20"/>
                <w:highlight w:val="none"/>
                <w:lang w:eastAsia="zh-CN"/>
              </w:rPr>
              <w:t>）</w:t>
            </w:r>
          </w:p>
          <w:p w14:paraId="119BC3EC">
            <w:pPr>
              <w:keepNext w:val="0"/>
              <w:keepLines w:val="0"/>
              <w:pageBreakBefore w:val="0"/>
              <w:widowControl w:val="0"/>
              <w:kinsoku w:val="0"/>
              <w:wordWrap/>
              <w:overflowPunct w:val="0"/>
              <w:topLinePunct w:val="0"/>
              <w:autoSpaceDE w:val="0"/>
              <w:autoSpaceDN w:val="0"/>
              <w:bidi w:val="0"/>
              <w:adjustRightInd w:val="0"/>
              <w:snapToGrid w:val="0"/>
              <w:spacing w:before="244" w:line="219" w:lineRule="auto"/>
              <w:ind w:left="6650"/>
              <w:textAlignment w:val="baseline"/>
              <w:rPr>
                <w:rFonts w:hint="default" w:ascii="Times New Roman" w:hAnsi="Times New Roman" w:eastAsia="宋体" w:cs="Times New Roman"/>
                <w:spacing w:val="-6"/>
                <w:sz w:val="20"/>
                <w:szCs w:val="20"/>
                <w:highlight w:val="none"/>
              </w:rPr>
            </w:pPr>
            <w:r>
              <w:rPr>
                <w:rFonts w:hint="default" w:ascii="Times New Roman" w:hAnsi="Times New Roman" w:eastAsia="宋体" w:cs="Times New Roman"/>
                <w:spacing w:val="-6"/>
                <w:sz w:val="20"/>
                <w:szCs w:val="20"/>
                <w:highlight w:val="none"/>
              </w:rPr>
              <w:t xml:space="preserve">经办人：             资产管理部门负责人：     </w:t>
            </w:r>
            <w:r>
              <w:rPr>
                <w:rFonts w:hint="default" w:ascii="Times New Roman" w:hAnsi="Times New Roman" w:eastAsia="宋体" w:cs="Times New Roman"/>
                <w:spacing w:val="-6"/>
                <w:sz w:val="20"/>
                <w:szCs w:val="20"/>
                <w:highlight w:val="none"/>
                <w:lang w:val="en-US" w:eastAsia="zh-CN"/>
              </w:rPr>
              <w:t xml:space="preserve">  </w:t>
            </w:r>
            <w:r>
              <w:rPr>
                <w:rFonts w:hint="default" w:ascii="Times New Roman" w:hAnsi="Times New Roman" w:eastAsia="宋体" w:cs="Times New Roman"/>
                <w:spacing w:val="-6"/>
                <w:sz w:val="20"/>
                <w:szCs w:val="20"/>
                <w:highlight w:val="none"/>
              </w:rPr>
              <w:t xml:space="preserve">  </w:t>
            </w:r>
            <w:r>
              <w:rPr>
                <w:rFonts w:hint="default" w:ascii="Times New Roman" w:hAnsi="Times New Roman" w:eastAsia="宋体" w:cs="Times New Roman"/>
                <w:spacing w:val="-6"/>
                <w:sz w:val="20"/>
                <w:szCs w:val="20"/>
                <w:highlight w:val="none"/>
                <w:lang w:val="en-US" w:eastAsia="zh-CN"/>
              </w:rPr>
              <w:t xml:space="preserve">   </w:t>
            </w:r>
            <w:r>
              <w:rPr>
                <w:rFonts w:hint="default" w:ascii="Times New Roman" w:hAnsi="Times New Roman" w:eastAsia="宋体" w:cs="Times New Roman"/>
                <w:spacing w:val="-6"/>
                <w:sz w:val="20"/>
                <w:szCs w:val="20"/>
                <w:highlight w:val="none"/>
              </w:rPr>
              <w:t xml:space="preserve"> 年    月     日</w:t>
            </w:r>
          </w:p>
        </w:tc>
      </w:tr>
    </w:tbl>
    <w:p w14:paraId="551F3163">
      <w:pPr>
        <w:pStyle w:val="3"/>
        <w:keepNext w:val="0"/>
        <w:keepLines w:val="0"/>
        <w:pageBreakBefore w:val="0"/>
        <w:widowControl w:val="0"/>
        <w:kinsoku w:val="0"/>
        <w:wordWrap/>
        <w:overflowPunct w:val="0"/>
        <w:topLinePunct w:val="0"/>
        <w:autoSpaceDE w:val="0"/>
        <w:autoSpaceDN w:val="0"/>
        <w:bidi w:val="0"/>
        <w:adjustRightInd w:val="0"/>
        <w:snapToGrid w:val="0"/>
        <w:spacing w:before="22" w:line="300" w:lineRule="exact"/>
        <w:ind w:left="1334"/>
        <w:textAlignment w:val="baseline"/>
        <w:rPr>
          <w:rFonts w:hint="default" w:ascii="Times New Roman" w:hAnsi="Times New Roman" w:eastAsia="宋体" w:cs="Times New Roman"/>
          <w:spacing w:val="-6"/>
          <w:sz w:val="18"/>
          <w:szCs w:val="18"/>
          <w:highlight w:val="none"/>
          <w:lang w:eastAsia="zh-CN"/>
        </w:rPr>
      </w:pPr>
      <w:r>
        <w:rPr>
          <w:rFonts w:hint="default" w:ascii="Times New Roman" w:hAnsi="Times New Roman" w:cs="Times New Roman"/>
          <w:spacing w:val="-6"/>
          <w:sz w:val="18"/>
          <w:szCs w:val="18"/>
          <w:highlight w:val="none"/>
          <w:lang w:eastAsia="zh-CN"/>
        </w:rPr>
        <w:t>说明：</w:t>
      </w:r>
    </w:p>
    <w:p w14:paraId="788407D5">
      <w:pPr>
        <w:pStyle w:val="3"/>
        <w:keepNext w:val="0"/>
        <w:keepLines w:val="0"/>
        <w:pageBreakBefore w:val="0"/>
        <w:widowControl w:val="0"/>
        <w:kinsoku w:val="0"/>
        <w:wordWrap/>
        <w:overflowPunct w:val="0"/>
        <w:topLinePunct w:val="0"/>
        <w:autoSpaceDE w:val="0"/>
        <w:autoSpaceDN w:val="0"/>
        <w:bidi w:val="0"/>
        <w:adjustRightInd w:val="0"/>
        <w:snapToGrid w:val="0"/>
        <w:spacing w:before="22" w:line="300" w:lineRule="exact"/>
        <w:ind w:left="1334"/>
        <w:textAlignment w:val="baseline"/>
        <w:rPr>
          <w:rFonts w:hint="default" w:ascii="Times New Roman" w:hAnsi="Times New Roman" w:cs="Times New Roman"/>
          <w:spacing w:val="-6"/>
          <w:sz w:val="18"/>
          <w:szCs w:val="18"/>
          <w:highlight w:val="none"/>
        </w:rPr>
      </w:pPr>
      <w:r>
        <w:rPr>
          <w:rFonts w:hint="default" w:ascii="Times New Roman" w:hAnsi="Times New Roman" w:cs="Times New Roman"/>
          <w:spacing w:val="-6"/>
          <w:sz w:val="18"/>
          <w:szCs w:val="18"/>
          <w:highlight w:val="none"/>
        </w:rPr>
        <w:t>1.本表适用于</w:t>
      </w:r>
      <w:r>
        <w:rPr>
          <w:rFonts w:hint="default" w:ascii="Times New Roman" w:hAnsi="Times New Roman" w:cs="Times New Roman"/>
          <w:spacing w:val="-6"/>
          <w:sz w:val="18"/>
          <w:szCs w:val="18"/>
          <w:highlight w:val="none"/>
          <w:lang w:eastAsia="zh-CN"/>
        </w:rPr>
        <w:t>区</w:t>
      </w:r>
      <w:r>
        <w:rPr>
          <w:rFonts w:hint="default" w:ascii="Times New Roman" w:hAnsi="Times New Roman" w:cs="Times New Roman"/>
          <w:spacing w:val="-6"/>
          <w:sz w:val="18"/>
          <w:szCs w:val="18"/>
          <w:highlight w:val="none"/>
        </w:rPr>
        <w:t>直行政事业单位国有资产转让、置换、报废、损失核销等处置事项申请</w:t>
      </w:r>
      <w:r>
        <w:rPr>
          <w:rFonts w:hint="default" w:ascii="Times New Roman" w:hAnsi="Times New Roman" w:cs="Times New Roman"/>
          <w:spacing w:val="-6"/>
          <w:sz w:val="18"/>
          <w:szCs w:val="18"/>
          <w:highlight w:val="none"/>
          <w:lang w:eastAsia="zh-CN"/>
        </w:rPr>
        <w:t>，处置申报表具体样式以广东省行政事业性国有资产管理系统下载的样式为准</w:t>
      </w:r>
      <w:r>
        <w:rPr>
          <w:rFonts w:hint="default" w:ascii="Times New Roman" w:hAnsi="Times New Roman" w:cs="Times New Roman"/>
          <w:spacing w:val="-6"/>
          <w:sz w:val="18"/>
          <w:szCs w:val="18"/>
          <w:highlight w:val="none"/>
        </w:rPr>
        <w:t>。</w:t>
      </w:r>
    </w:p>
    <w:p w14:paraId="44108D93">
      <w:pPr>
        <w:pStyle w:val="3"/>
        <w:keepNext w:val="0"/>
        <w:keepLines w:val="0"/>
        <w:pageBreakBefore w:val="0"/>
        <w:widowControl w:val="0"/>
        <w:kinsoku w:val="0"/>
        <w:wordWrap/>
        <w:overflowPunct w:val="0"/>
        <w:topLinePunct w:val="0"/>
        <w:autoSpaceDE w:val="0"/>
        <w:autoSpaceDN w:val="0"/>
        <w:bidi w:val="0"/>
        <w:adjustRightInd w:val="0"/>
        <w:snapToGrid w:val="0"/>
        <w:spacing w:before="22" w:line="300" w:lineRule="exact"/>
        <w:ind w:left="1334"/>
        <w:textAlignment w:val="baseline"/>
        <w:rPr>
          <w:rFonts w:hint="default" w:ascii="Times New Roman" w:hAnsi="Times New Roman" w:cs="Times New Roman"/>
          <w:spacing w:val="-6"/>
          <w:sz w:val="18"/>
          <w:szCs w:val="18"/>
          <w:highlight w:val="none"/>
        </w:rPr>
      </w:pPr>
      <w:r>
        <w:rPr>
          <w:rFonts w:hint="default" w:ascii="Times New Roman" w:hAnsi="Times New Roman" w:cs="Times New Roman"/>
          <w:spacing w:val="-6"/>
          <w:sz w:val="18"/>
          <w:szCs w:val="18"/>
          <w:highlight w:val="none"/>
        </w:rPr>
        <w:t>2.资产类别：</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1</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固定资产包括①房屋及构筑物②车辆③设备④文物和陈列品</w:t>
      </w:r>
      <w:r>
        <w:rPr>
          <w:rFonts w:hint="default" w:ascii="Times New Roman" w:hAnsi="Times New Roman" w:cs="Times New Roman"/>
          <w:spacing w:val="-6"/>
          <w:sz w:val="20"/>
          <w:szCs w:val="20"/>
          <w:highlight w:val="none"/>
        </w:rPr>
        <w:t>⑤</w:t>
      </w:r>
      <w:r>
        <w:rPr>
          <w:rFonts w:hint="default" w:ascii="Times New Roman" w:hAnsi="Times New Roman" w:cs="Times New Roman"/>
          <w:spacing w:val="-6"/>
          <w:sz w:val="18"/>
          <w:szCs w:val="18"/>
          <w:highlight w:val="none"/>
        </w:rPr>
        <w:t>图书、档案⑥家具、用具、装具及动植物⑦其他</w:t>
      </w:r>
      <w:r>
        <w:rPr>
          <w:rFonts w:hint="default" w:ascii="Times New Roman" w:hAnsi="Times New Roman" w:cs="Times New Roman"/>
          <w:spacing w:val="-6"/>
          <w:sz w:val="18"/>
          <w:szCs w:val="18"/>
          <w:highlight w:val="none"/>
          <w:lang w:eastAsia="zh-CN"/>
        </w:rPr>
        <w:t>；</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2</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无形资产包括①专利权②非专利技术③著作权④资源资质</w:t>
      </w:r>
    </w:p>
    <w:p w14:paraId="6A43EC02">
      <w:pPr>
        <w:pStyle w:val="3"/>
        <w:keepNext w:val="0"/>
        <w:keepLines w:val="0"/>
        <w:pageBreakBefore w:val="0"/>
        <w:widowControl w:val="0"/>
        <w:kinsoku w:val="0"/>
        <w:wordWrap/>
        <w:overflowPunct w:val="0"/>
        <w:topLinePunct w:val="0"/>
        <w:autoSpaceDE w:val="0"/>
        <w:autoSpaceDN w:val="0"/>
        <w:bidi w:val="0"/>
        <w:adjustRightInd w:val="0"/>
        <w:snapToGrid w:val="0"/>
        <w:spacing w:before="22" w:line="300" w:lineRule="exact"/>
        <w:ind w:left="1334"/>
        <w:textAlignment w:val="baseline"/>
        <w:rPr>
          <w:rFonts w:hint="default" w:ascii="Times New Roman" w:hAnsi="Times New Roman" w:cs="Times New Roman"/>
          <w:spacing w:val="-6"/>
          <w:sz w:val="18"/>
          <w:szCs w:val="18"/>
          <w:highlight w:val="none"/>
        </w:rPr>
      </w:pPr>
      <w:r>
        <w:rPr>
          <w:rFonts w:hint="default" w:ascii="Times New Roman" w:hAnsi="Times New Roman" w:cs="Times New Roman"/>
          <w:spacing w:val="-6"/>
          <w:sz w:val="18"/>
          <w:szCs w:val="18"/>
          <w:highlight w:val="none"/>
        </w:rPr>
        <w:t>⑤商标权⑥信息数据⑦其他</w:t>
      </w:r>
      <w:r>
        <w:rPr>
          <w:rFonts w:hint="default" w:ascii="Times New Roman" w:hAnsi="Times New Roman" w:cs="Times New Roman"/>
          <w:spacing w:val="-6"/>
          <w:sz w:val="18"/>
          <w:szCs w:val="18"/>
          <w:highlight w:val="none"/>
          <w:lang w:eastAsia="zh-CN"/>
        </w:rPr>
        <w:t>；</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3</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对外投资包括①短期投资②长期股权投资③长期债券投资；</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4</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存货等其他资产。</w:t>
      </w:r>
    </w:p>
    <w:p w14:paraId="38A5B792">
      <w:pPr>
        <w:pStyle w:val="3"/>
        <w:keepNext w:val="0"/>
        <w:keepLines w:val="0"/>
        <w:pageBreakBefore w:val="0"/>
        <w:widowControl w:val="0"/>
        <w:kinsoku w:val="0"/>
        <w:wordWrap/>
        <w:overflowPunct w:val="0"/>
        <w:topLinePunct w:val="0"/>
        <w:autoSpaceDE w:val="0"/>
        <w:autoSpaceDN w:val="0"/>
        <w:bidi w:val="0"/>
        <w:adjustRightInd w:val="0"/>
        <w:snapToGrid w:val="0"/>
        <w:spacing w:before="22" w:line="300" w:lineRule="exact"/>
        <w:ind w:left="1334"/>
        <w:textAlignment w:val="baseline"/>
        <w:rPr>
          <w:rFonts w:hint="default" w:ascii="Times New Roman" w:hAnsi="Times New Roman" w:cs="Times New Roman"/>
          <w:spacing w:val="-6"/>
          <w:sz w:val="18"/>
          <w:szCs w:val="18"/>
          <w:highlight w:val="none"/>
        </w:rPr>
      </w:pPr>
      <w:r>
        <w:rPr>
          <w:rFonts w:hint="default" w:ascii="Times New Roman" w:hAnsi="Times New Roman" w:cs="Times New Roman"/>
          <w:spacing w:val="-6"/>
          <w:sz w:val="18"/>
          <w:szCs w:val="18"/>
          <w:highlight w:val="none"/>
        </w:rPr>
        <w:t>3.资产来源：</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1</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财政性资金形成；</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2</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单位自筹资金形成；</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3</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单位合并形成；</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4</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上级拨付资金形成；</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5</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无偿划转形成；</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6</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接受捐赠形成；</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7</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 xml:space="preserve">其他。 </w:t>
      </w:r>
    </w:p>
    <w:p w14:paraId="7A023DA3">
      <w:pPr>
        <w:pStyle w:val="3"/>
        <w:keepNext w:val="0"/>
        <w:keepLines w:val="0"/>
        <w:pageBreakBefore w:val="0"/>
        <w:widowControl w:val="0"/>
        <w:kinsoku w:val="0"/>
        <w:wordWrap/>
        <w:overflowPunct w:val="0"/>
        <w:topLinePunct w:val="0"/>
        <w:autoSpaceDE w:val="0"/>
        <w:autoSpaceDN w:val="0"/>
        <w:bidi w:val="0"/>
        <w:adjustRightInd w:val="0"/>
        <w:snapToGrid w:val="0"/>
        <w:spacing w:before="22" w:line="300" w:lineRule="exact"/>
        <w:ind w:left="1334"/>
        <w:textAlignment w:val="baseline"/>
        <w:rPr>
          <w:rFonts w:hint="default" w:ascii="Times New Roman" w:hAnsi="Times New Roman" w:cs="Times New Roman"/>
          <w:spacing w:val="-6"/>
          <w:sz w:val="18"/>
          <w:szCs w:val="18"/>
          <w:highlight w:val="none"/>
        </w:rPr>
      </w:pPr>
      <w:r>
        <w:rPr>
          <w:rFonts w:hint="default" w:ascii="Times New Roman" w:hAnsi="Times New Roman" w:cs="Times New Roman"/>
          <w:spacing w:val="-6"/>
          <w:sz w:val="18"/>
          <w:szCs w:val="18"/>
          <w:highlight w:val="none"/>
        </w:rPr>
        <w:t>4.资产处置方式：</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1</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转让；</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2</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置换</w:t>
      </w:r>
      <w:r>
        <w:rPr>
          <w:rFonts w:hint="default" w:ascii="Times New Roman" w:hAnsi="Times New Roman" w:cs="Times New Roman"/>
          <w:spacing w:val="-6"/>
          <w:sz w:val="18"/>
          <w:szCs w:val="18"/>
          <w:highlight w:val="none"/>
          <w:lang w:eastAsia="zh-CN"/>
        </w:rPr>
        <w:t>；</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3</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报废；</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4</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损失核销；</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5</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其他。</w:t>
      </w:r>
    </w:p>
    <w:p w14:paraId="1C80D2B3">
      <w:pPr>
        <w:keepNext w:val="0"/>
        <w:keepLines w:val="0"/>
        <w:pageBreakBefore w:val="0"/>
        <w:widowControl w:val="0"/>
        <w:kinsoku w:val="0"/>
        <w:wordWrap/>
        <w:overflowPunct w:val="0"/>
        <w:topLinePunct w:val="0"/>
        <w:autoSpaceDE w:val="0"/>
        <w:autoSpaceDN w:val="0"/>
        <w:bidi w:val="0"/>
        <w:adjustRightInd w:val="0"/>
        <w:snapToGrid w:val="0"/>
        <w:spacing w:before="123" w:line="224" w:lineRule="auto"/>
        <w:ind w:firstLine="1344" w:firstLineChars="800"/>
        <w:textAlignment w:val="baseline"/>
        <w:rPr>
          <w:rFonts w:hint="default" w:ascii="Times New Roman" w:hAnsi="Times New Roman" w:cs="Times New Roman"/>
          <w:spacing w:val="-6"/>
          <w:sz w:val="18"/>
          <w:szCs w:val="18"/>
          <w:highlight w:val="none"/>
        </w:rPr>
      </w:pPr>
      <w:r>
        <w:rPr>
          <w:rFonts w:hint="default" w:ascii="Times New Roman" w:hAnsi="Times New Roman" w:cs="Times New Roman"/>
          <w:spacing w:val="-6"/>
          <w:sz w:val="18"/>
          <w:szCs w:val="18"/>
          <w:highlight w:val="none"/>
        </w:rPr>
        <w:t>5.表中资产类别、资产来源、资产处置方式等用填表说明中最末级标准名称填写，选填</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其他</w:t>
      </w:r>
      <w:r>
        <w:rPr>
          <w:rFonts w:hint="eastAsia" w:ascii="Times New Roman" w:hAnsi="Times New Roman" w:cs="Times New Roman"/>
          <w:spacing w:val="-6"/>
          <w:sz w:val="18"/>
          <w:szCs w:val="18"/>
          <w:highlight w:val="none"/>
          <w:lang w:eastAsia="zh-CN"/>
        </w:rPr>
        <w:t>”</w:t>
      </w:r>
      <w:r>
        <w:rPr>
          <w:rFonts w:hint="default" w:ascii="Times New Roman" w:hAnsi="Times New Roman" w:cs="Times New Roman"/>
          <w:spacing w:val="-6"/>
          <w:sz w:val="18"/>
          <w:szCs w:val="18"/>
          <w:highlight w:val="none"/>
        </w:rPr>
        <w:t>的，需在备注栏进行说明。</w:t>
      </w:r>
    </w:p>
    <w:p w14:paraId="0FC89CA7">
      <w:pPr>
        <w:pStyle w:val="3"/>
        <w:keepNext w:val="0"/>
        <w:keepLines w:val="0"/>
        <w:pageBreakBefore w:val="0"/>
        <w:widowControl w:val="0"/>
        <w:kinsoku w:val="0"/>
        <w:wordWrap/>
        <w:overflowPunct w:val="0"/>
        <w:topLinePunct w:val="0"/>
        <w:autoSpaceDE w:val="0"/>
        <w:autoSpaceDN w:val="0"/>
        <w:bidi w:val="0"/>
        <w:adjustRightInd w:val="0"/>
        <w:snapToGrid w:val="0"/>
        <w:spacing w:before="22" w:line="300" w:lineRule="exact"/>
        <w:ind w:left="1334"/>
        <w:textAlignment w:val="baseline"/>
        <w:rPr>
          <w:rFonts w:hint="default" w:ascii="Times New Roman" w:hAnsi="Times New Roman" w:cs="Times New Roman"/>
          <w:spacing w:val="-6"/>
          <w:highlight w:val="none"/>
        </w:rPr>
        <w:sectPr>
          <w:footerReference r:id="rId5" w:type="default"/>
          <w:pgSz w:w="16838" w:h="11906" w:orient="landscape"/>
          <w:pgMar w:top="567" w:right="567" w:bottom="567" w:left="567" w:header="851" w:footer="992" w:gutter="0"/>
          <w:pgNumType w:fmt="decimal" w:start="1"/>
          <w:cols w:space="0" w:num="1"/>
          <w:rtlGutter w:val="0"/>
          <w:docGrid w:type="lines" w:linePitch="312" w:charSpace="0"/>
        </w:sectPr>
      </w:pPr>
    </w:p>
    <w:p w14:paraId="7E45FFCA">
      <w:pPr>
        <w:keepNext w:val="0"/>
        <w:keepLines w:val="0"/>
        <w:pageBreakBefore w:val="0"/>
        <w:widowControl w:val="0"/>
        <w:kinsoku w:val="0"/>
        <w:wordWrap/>
        <w:overflowPunct w:val="0"/>
        <w:topLinePunct w:val="0"/>
        <w:autoSpaceDE w:val="0"/>
        <w:autoSpaceDN w:val="0"/>
        <w:bidi w:val="0"/>
        <w:adjustRightInd w:val="0"/>
        <w:snapToGrid w:val="0"/>
        <w:spacing w:before="128" w:line="224" w:lineRule="auto"/>
        <w:textAlignment w:val="baseline"/>
        <w:rPr>
          <w:rFonts w:hint="default" w:ascii="Times New Roman" w:hAnsi="Times New Roman" w:eastAsia="黑体" w:cs="Times New Roman"/>
          <w:b/>
          <w:bCs/>
          <w:spacing w:val="-6"/>
          <w:sz w:val="38"/>
          <w:szCs w:val="38"/>
          <w:highlight w:val="none"/>
          <w:lang w:val="en-US" w:eastAsia="zh-CN"/>
        </w:rPr>
      </w:pPr>
      <w:r>
        <w:rPr>
          <w:rFonts w:hint="default" w:ascii="Times New Roman" w:hAnsi="Times New Roman" w:eastAsia="黑体" w:cs="Times New Roman"/>
          <w:b/>
          <w:bCs/>
          <w:spacing w:val="-6"/>
          <w:sz w:val="38"/>
          <w:szCs w:val="38"/>
          <w:highlight w:val="none"/>
          <w:lang w:eastAsia="zh-CN"/>
        </w:rPr>
        <w:t>附件</w:t>
      </w:r>
      <w:r>
        <w:rPr>
          <w:rFonts w:hint="default" w:ascii="Times New Roman" w:hAnsi="Times New Roman" w:eastAsia="黑体" w:cs="Times New Roman"/>
          <w:b/>
          <w:bCs/>
          <w:spacing w:val="-6"/>
          <w:sz w:val="38"/>
          <w:szCs w:val="38"/>
          <w:highlight w:val="none"/>
          <w:lang w:val="en-US" w:eastAsia="zh-CN"/>
        </w:rPr>
        <w:t>3</w:t>
      </w:r>
    </w:p>
    <w:p w14:paraId="1D110B39">
      <w:pPr>
        <w:keepNext w:val="0"/>
        <w:keepLines w:val="0"/>
        <w:pageBreakBefore w:val="0"/>
        <w:widowControl w:val="0"/>
        <w:kinsoku w:val="0"/>
        <w:wordWrap/>
        <w:overflowPunct w:val="0"/>
        <w:topLinePunct w:val="0"/>
        <w:autoSpaceDE w:val="0"/>
        <w:autoSpaceDN w:val="0"/>
        <w:bidi w:val="0"/>
        <w:adjustRightInd w:val="0"/>
        <w:snapToGrid w:val="0"/>
        <w:spacing w:before="128" w:line="224" w:lineRule="auto"/>
        <w:textAlignment w:val="baseline"/>
        <w:rPr>
          <w:rFonts w:hint="default" w:ascii="Times New Roman" w:hAnsi="Times New Roman" w:eastAsia="黑体" w:cs="Times New Roman"/>
          <w:b/>
          <w:bCs/>
          <w:spacing w:val="-6"/>
          <w:sz w:val="42"/>
          <w:szCs w:val="42"/>
          <w:highlight w:val="none"/>
          <w:lang w:val="en-US" w:eastAsia="zh-CN"/>
        </w:rPr>
      </w:pPr>
    </w:p>
    <w:p w14:paraId="1DF78A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国有资产处置向区机关事务管理局</w:t>
      </w:r>
      <w:r>
        <w:rPr>
          <w:rFonts w:hint="default" w:ascii="Times New Roman" w:hAnsi="Times New Roman" w:eastAsia="方正小标宋简体" w:cs="Times New Roman"/>
          <w:sz w:val="44"/>
          <w:szCs w:val="44"/>
          <w:highlight w:val="none"/>
          <w:lang w:val="en-US" w:eastAsia="zh-CN"/>
        </w:rPr>
        <w:t>/区财政局</w:t>
      </w:r>
      <w:r>
        <w:rPr>
          <w:rFonts w:hint="default" w:ascii="Times New Roman" w:hAnsi="Times New Roman" w:eastAsia="方正小标宋简体" w:cs="Times New Roman"/>
          <w:sz w:val="44"/>
          <w:szCs w:val="44"/>
          <w:highlight w:val="none"/>
          <w:lang w:eastAsia="zh-CN"/>
        </w:rPr>
        <w:t>报备的资料清单</w:t>
      </w:r>
    </w:p>
    <w:p w14:paraId="74D53E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lang w:val="en-US" w:eastAsia="zh-CN"/>
        </w:rPr>
      </w:pPr>
    </w:p>
    <w:p w14:paraId="60BAFF85">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向区机关事务管理局/区财政局申请资产处置备案的函</w:t>
      </w:r>
    </w:p>
    <w:p w14:paraId="7A1E4304">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单位向主管部门资产处置的申请（无主管部门的忽略）</w:t>
      </w:r>
    </w:p>
    <w:p w14:paraId="103AE3F4">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主管部门对资产处置的批复（无主管部门的忽略）</w:t>
      </w:r>
    </w:p>
    <w:p w14:paraId="493EB8AD">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行政事业单位国有资产处置申报表（在广东省行政事业性国有资产管理系统下载，数量多的需含附件明细）</w:t>
      </w:r>
    </w:p>
    <w:p w14:paraId="2157AE3A">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行政事业单位国有资产无偿划转确认书（含行政事业单位国有资产无偿划转明细表）（无偿划转才需要）</w:t>
      </w:r>
    </w:p>
    <w:p w14:paraId="7EEAEEA4">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记账凭证（无偿划转的需附上接收单位的记账凭证）（区财务中心提供）</w:t>
      </w:r>
    </w:p>
    <w:p w14:paraId="70B137EB">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资产处置收入（含处置收入非税缴款书、处置收入记账凭证、回收公司营业执照报价等相关资料）</w:t>
      </w:r>
    </w:p>
    <w:p w14:paraId="3E1C9DD4">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单位会议记录</w:t>
      </w:r>
    </w:p>
    <w:p w14:paraId="66741AC7">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处置资产相关文件（对应单位价值或批量价值账面价值在100万元（含）以上的资产处置需报区政府审批，其中：国有资产向区直机关事业单位或区属国有企业以外无偿划转、100亩以上的土地资产处置、资产评估价值5000万元以上的非土地资产转让，按区委</w:t>
      </w:r>
      <w:r>
        <w:rPr>
          <w:rFonts w:hint="eastAsia"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sz w:val="30"/>
          <w:szCs w:val="30"/>
          <w:highlight w:val="none"/>
          <w:lang w:val="en-US" w:eastAsia="zh-CN"/>
        </w:rPr>
        <w:t>三重一大</w:t>
      </w:r>
      <w:r>
        <w:rPr>
          <w:rFonts w:hint="eastAsia"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sz w:val="30"/>
          <w:szCs w:val="30"/>
          <w:highlight w:val="none"/>
          <w:lang w:val="en-US" w:eastAsia="zh-CN"/>
        </w:rPr>
        <w:t>事项议事决策制度的要求报区委常委会审议批准。）</w:t>
      </w:r>
    </w:p>
    <w:p w14:paraId="2A32D6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b/>
          <w:bCs/>
          <w:i w:val="0"/>
          <w:iCs w:val="0"/>
          <w:sz w:val="30"/>
          <w:szCs w:val="30"/>
          <w:highlight w:val="none"/>
          <w:lang w:val="en-US" w:eastAsia="zh-CN"/>
        </w:rPr>
        <w:t>*请按以上顺序排放资料，所有资料均需盖章</w:t>
      </w:r>
    </w:p>
    <w:p w14:paraId="26042AE9">
      <w:pPr>
        <w:keepNext w:val="0"/>
        <w:keepLines w:val="0"/>
        <w:pageBreakBefore w:val="0"/>
        <w:widowControl w:val="0"/>
        <w:kinsoku w:val="0"/>
        <w:wordWrap/>
        <w:overflowPunct w:val="0"/>
        <w:topLinePunct w:val="0"/>
        <w:autoSpaceDE w:val="0"/>
        <w:autoSpaceDN w:val="0"/>
        <w:bidi w:val="0"/>
        <w:adjustRightInd w:val="0"/>
        <w:snapToGrid w:val="0"/>
        <w:spacing w:before="128" w:line="224" w:lineRule="auto"/>
        <w:textAlignment w:val="baseline"/>
        <w:rPr>
          <w:rFonts w:hint="default" w:ascii="Times New Roman" w:hAnsi="Times New Roman" w:eastAsia="黑体" w:cs="Times New Roman"/>
          <w:b/>
          <w:bCs/>
          <w:spacing w:val="-6"/>
          <w:sz w:val="42"/>
          <w:szCs w:val="42"/>
          <w:highlight w:val="none"/>
          <w:lang w:val="en-US" w:eastAsia="zh-CN"/>
        </w:rPr>
        <w:sectPr>
          <w:footerReference r:id="rId6" w:type="default"/>
          <w:pgSz w:w="11906" w:h="16838"/>
          <w:pgMar w:top="1457" w:right="1664" w:bottom="1389" w:left="1587" w:header="0" w:footer="1723" w:gutter="0"/>
          <w:pgNumType w:fmt="decimal"/>
          <w:cols w:space="0" w:num="1"/>
          <w:rtlGutter w:val="0"/>
          <w:docGrid w:linePitch="0" w:charSpace="0"/>
        </w:sectPr>
      </w:pPr>
    </w:p>
    <w:tbl>
      <w:tblPr>
        <w:tblStyle w:val="6"/>
        <w:tblW w:w="106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60"/>
        <w:gridCol w:w="3501"/>
        <w:gridCol w:w="4113"/>
      </w:tblGrid>
      <w:tr w14:paraId="4A4D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10674" w:type="dxa"/>
            <w:gridSpan w:val="3"/>
            <w:tcBorders>
              <w:top w:val="nil"/>
              <w:left w:val="nil"/>
              <w:bottom w:val="nil"/>
              <w:right w:val="nil"/>
            </w:tcBorders>
            <w:shd w:val="clear" w:color="auto" w:fill="auto"/>
            <w:noWrap/>
            <w:vAlign w:val="center"/>
          </w:tcPr>
          <w:p w14:paraId="687D2B5C">
            <w:pPr>
              <w:keepNext w:val="0"/>
              <w:keepLines w:val="0"/>
              <w:pageBreakBefore w:val="0"/>
              <w:widowControl w:val="0"/>
              <w:kinsoku w:val="0"/>
              <w:wordWrap/>
              <w:overflowPunct w:val="0"/>
              <w:topLinePunct w:val="0"/>
              <w:autoSpaceDE w:val="0"/>
              <w:autoSpaceDN w:val="0"/>
              <w:bidi w:val="0"/>
              <w:adjustRightInd w:val="0"/>
              <w:snapToGrid w:val="0"/>
              <w:spacing w:before="128" w:line="224" w:lineRule="auto"/>
              <w:textAlignment w:val="baseline"/>
              <w:rPr>
                <w:rFonts w:hint="default" w:ascii="Times New Roman" w:hAnsi="Times New Roman" w:eastAsia="黑体" w:cs="Times New Roman"/>
                <w:b/>
                <w:bCs/>
                <w:spacing w:val="-6"/>
                <w:sz w:val="38"/>
                <w:szCs w:val="38"/>
                <w:highlight w:val="none"/>
                <w:lang w:val="en-US" w:eastAsia="zh-CN"/>
              </w:rPr>
            </w:pPr>
            <w:r>
              <w:rPr>
                <w:rFonts w:hint="default" w:ascii="Times New Roman" w:hAnsi="Times New Roman" w:eastAsia="黑体" w:cs="Times New Roman"/>
                <w:b/>
                <w:bCs/>
                <w:spacing w:val="-6"/>
                <w:sz w:val="38"/>
                <w:szCs w:val="38"/>
                <w:highlight w:val="none"/>
                <w:lang w:eastAsia="zh-CN"/>
              </w:rPr>
              <w:t>附件</w:t>
            </w:r>
            <w:r>
              <w:rPr>
                <w:rFonts w:hint="default" w:ascii="Times New Roman" w:hAnsi="Times New Roman" w:eastAsia="黑体" w:cs="Times New Roman"/>
                <w:b/>
                <w:bCs/>
                <w:spacing w:val="-6"/>
                <w:sz w:val="38"/>
                <w:szCs w:val="38"/>
                <w:highlight w:val="none"/>
                <w:lang w:val="en-US" w:eastAsia="zh-CN"/>
              </w:rPr>
              <w:t>4</w:t>
            </w:r>
          </w:p>
          <w:p w14:paraId="086DFF04">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36"/>
                <w:szCs w:val="36"/>
                <w:highlight w:val="none"/>
                <w:u w:val="none"/>
                <w:lang w:val="en-US" w:eastAsia="zh-CN" w:bidi="ar"/>
              </w:rPr>
            </w:pPr>
          </w:p>
          <w:p w14:paraId="156FD210">
            <w:pPr>
              <w:keepNext w:val="0"/>
              <w:keepLines w:val="0"/>
              <w:widowControl/>
              <w:suppressLineNumbers w:val="0"/>
              <w:jc w:val="center"/>
              <w:textAlignment w:val="center"/>
              <w:rPr>
                <w:rFonts w:hint="default" w:ascii="Times New Roman" w:hAnsi="Times New Roman" w:eastAsia="黑体" w:cs="Times New Roman"/>
                <w:i w:val="0"/>
                <w:iCs w:val="0"/>
                <w:color w:val="000000"/>
                <w:sz w:val="36"/>
                <w:szCs w:val="36"/>
                <w:highlight w:val="none"/>
                <w:u w:val="none"/>
              </w:rPr>
            </w:pPr>
            <w:r>
              <w:rPr>
                <w:rFonts w:hint="default" w:ascii="Times New Roman" w:hAnsi="Times New Roman" w:eastAsia="方正小标宋简体" w:cs="Times New Roman"/>
                <w:i w:val="0"/>
                <w:iCs w:val="0"/>
                <w:color w:val="000000"/>
                <w:kern w:val="0"/>
                <w:sz w:val="44"/>
                <w:szCs w:val="44"/>
                <w:highlight w:val="none"/>
                <w:u w:val="none"/>
                <w:lang w:val="en-US" w:eastAsia="zh-CN" w:bidi="ar"/>
              </w:rPr>
              <w:t>行政事业单位国有资产无偿划转确认书</w:t>
            </w:r>
          </w:p>
        </w:tc>
      </w:tr>
      <w:tr w14:paraId="091B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top w:val="nil"/>
              <w:left w:val="nil"/>
              <w:bottom w:val="nil"/>
              <w:right w:val="nil"/>
            </w:tcBorders>
            <w:shd w:val="clear" w:color="auto" w:fill="auto"/>
            <w:noWrap/>
            <w:vAlign w:val="center"/>
          </w:tcPr>
          <w:p w14:paraId="018DD74C">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编制单位：</w:t>
            </w:r>
          </w:p>
        </w:tc>
        <w:tc>
          <w:tcPr>
            <w:tcW w:w="3474" w:type="dxa"/>
            <w:tcBorders>
              <w:top w:val="nil"/>
              <w:left w:val="nil"/>
              <w:bottom w:val="nil"/>
              <w:right w:val="nil"/>
            </w:tcBorders>
            <w:shd w:val="clear" w:color="auto" w:fill="auto"/>
            <w:noWrap/>
            <w:vAlign w:val="center"/>
          </w:tcPr>
          <w:p w14:paraId="0043A8F0">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调拨时间：  年  月  日</w:t>
            </w:r>
          </w:p>
        </w:tc>
        <w:tc>
          <w:tcPr>
            <w:tcW w:w="4082" w:type="dxa"/>
            <w:tcBorders>
              <w:top w:val="nil"/>
              <w:left w:val="nil"/>
              <w:bottom w:val="nil"/>
              <w:right w:val="nil"/>
            </w:tcBorders>
            <w:shd w:val="clear" w:color="auto" w:fill="auto"/>
            <w:noWrap/>
            <w:vAlign w:val="center"/>
          </w:tcPr>
          <w:p w14:paraId="59A9ABCD">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金额单位：元</w:t>
            </w:r>
          </w:p>
        </w:tc>
      </w:tr>
      <w:tr w14:paraId="0A67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50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项    目</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29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账  面  值</w:t>
            </w: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C9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评估（调整后）价值</w:t>
            </w:r>
          </w:p>
        </w:tc>
      </w:tr>
      <w:tr w14:paraId="23AF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A79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一、资产总额</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5FD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w:t>
            </w: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1EF3">
            <w:pPr>
              <w:rPr>
                <w:rFonts w:hint="default" w:ascii="Times New Roman" w:hAnsi="Times New Roman" w:eastAsia="仿宋_GB2312" w:cs="Times New Roman"/>
                <w:i w:val="0"/>
                <w:iCs w:val="0"/>
                <w:color w:val="000000"/>
                <w:sz w:val="24"/>
                <w:szCs w:val="24"/>
                <w:highlight w:val="none"/>
                <w:u w:val="none"/>
              </w:rPr>
            </w:pPr>
          </w:p>
        </w:tc>
      </w:tr>
      <w:tr w14:paraId="45ED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95F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1.流动资产</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6260">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C5C8">
            <w:pPr>
              <w:rPr>
                <w:rFonts w:hint="default" w:ascii="Times New Roman" w:hAnsi="Times New Roman" w:eastAsia="仿宋_GB2312" w:cs="Times New Roman"/>
                <w:i w:val="0"/>
                <w:iCs w:val="0"/>
                <w:color w:val="000000"/>
                <w:sz w:val="24"/>
                <w:szCs w:val="24"/>
                <w:highlight w:val="none"/>
                <w:u w:val="none"/>
              </w:rPr>
            </w:pPr>
          </w:p>
        </w:tc>
      </w:tr>
      <w:tr w14:paraId="386A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F93A">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2.长期投资（对外投资）</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C907">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230B">
            <w:pPr>
              <w:rPr>
                <w:rFonts w:hint="default" w:ascii="Times New Roman" w:hAnsi="Times New Roman" w:eastAsia="仿宋_GB2312" w:cs="Times New Roman"/>
                <w:i w:val="0"/>
                <w:iCs w:val="0"/>
                <w:color w:val="000000"/>
                <w:sz w:val="24"/>
                <w:szCs w:val="24"/>
                <w:highlight w:val="none"/>
                <w:u w:val="none"/>
              </w:rPr>
            </w:pPr>
          </w:p>
        </w:tc>
      </w:tr>
      <w:tr w14:paraId="0C7A8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EBE6">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3.固定资产</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18CF">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w:t>
            </w: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9284">
            <w:pPr>
              <w:rPr>
                <w:rFonts w:hint="default" w:ascii="Times New Roman" w:hAnsi="Times New Roman" w:eastAsia="仿宋_GB2312" w:cs="Times New Roman"/>
                <w:i w:val="0"/>
                <w:iCs w:val="0"/>
                <w:color w:val="000000"/>
                <w:sz w:val="24"/>
                <w:szCs w:val="24"/>
                <w:highlight w:val="none"/>
                <w:u w:val="none"/>
              </w:rPr>
            </w:pPr>
          </w:p>
        </w:tc>
      </w:tr>
      <w:tr w14:paraId="16F4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2923">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4.无形资产</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7E81">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6B06">
            <w:pPr>
              <w:rPr>
                <w:rFonts w:hint="default" w:ascii="Times New Roman" w:hAnsi="Times New Roman" w:eastAsia="仿宋_GB2312" w:cs="Times New Roman"/>
                <w:i w:val="0"/>
                <w:iCs w:val="0"/>
                <w:color w:val="000000"/>
                <w:sz w:val="24"/>
                <w:szCs w:val="24"/>
                <w:highlight w:val="none"/>
                <w:u w:val="none"/>
              </w:rPr>
            </w:pPr>
          </w:p>
        </w:tc>
      </w:tr>
      <w:tr w14:paraId="79BFE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910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    其中：土地</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17F4">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D6C1">
            <w:pPr>
              <w:rPr>
                <w:rFonts w:hint="default" w:ascii="Times New Roman" w:hAnsi="Times New Roman" w:eastAsia="仿宋_GB2312" w:cs="Times New Roman"/>
                <w:i w:val="0"/>
                <w:iCs w:val="0"/>
                <w:color w:val="000000"/>
                <w:sz w:val="24"/>
                <w:szCs w:val="24"/>
                <w:highlight w:val="none"/>
                <w:u w:val="none"/>
              </w:rPr>
            </w:pPr>
          </w:p>
        </w:tc>
      </w:tr>
      <w:tr w14:paraId="43104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4B10">
            <w:pPr>
              <w:rPr>
                <w:rFonts w:hint="default" w:ascii="Times New Roman" w:hAnsi="Times New Roman" w:eastAsia="仿宋_GB2312" w:cs="Times New Roman"/>
                <w:i w:val="0"/>
                <w:iCs w:val="0"/>
                <w:color w:val="000000"/>
                <w:sz w:val="24"/>
                <w:szCs w:val="24"/>
                <w:highlight w:val="none"/>
                <w:u w:val="none"/>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083C">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7F85">
            <w:pPr>
              <w:rPr>
                <w:rFonts w:hint="default" w:ascii="Times New Roman" w:hAnsi="Times New Roman" w:eastAsia="仿宋_GB2312" w:cs="Times New Roman"/>
                <w:i w:val="0"/>
                <w:iCs w:val="0"/>
                <w:color w:val="000000"/>
                <w:sz w:val="24"/>
                <w:szCs w:val="24"/>
                <w:highlight w:val="none"/>
                <w:u w:val="none"/>
              </w:rPr>
            </w:pPr>
          </w:p>
        </w:tc>
      </w:tr>
      <w:tr w14:paraId="54A0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C70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二、负债总额</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7C59">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66D5">
            <w:pPr>
              <w:rPr>
                <w:rFonts w:hint="default" w:ascii="Times New Roman" w:hAnsi="Times New Roman" w:eastAsia="仿宋_GB2312" w:cs="Times New Roman"/>
                <w:i w:val="0"/>
                <w:iCs w:val="0"/>
                <w:color w:val="000000"/>
                <w:sz w:val="24"/>
                <w:szCs w:val="24"/>
                <w:highlight w:val="none"/>
                <w:u w:val="none"/>
              </w:rPr>
            </w:pPr>
          </w:p>
        </w:tc>
      </w:tr>
      <w:tr w14:paraId="220B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ECE7">
            <w:pPr>
              <w:rPr>
                <w:rFonts w:hint="default" w:ascii="Times New Roman" w:hAnsi="Times New Roman" w:eastAsia="仿宋_GB2312" w:cs="Times New Roman"/>
                <w:i w:val="0"/>
                <w:iCs w:val="0"/>
                <w:color w:val="000000"/>
                <w:sz w:val="24"/>
                <w:szCs w:val="24"/>
                <w:highlight w:val="none"/>
                <w:u w:val="none"/>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B01D">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2A65">
            <w:pPr>
              <w:rPr>
                <w:rFonts w:hint="default" w:ascii="Times New Roman" w:hAnsi="Times New Roman" w:eastAsia="仿宋_GB2312" w:cs="Times New Roman"/>
                <w:i w:val="0"/>
                <w:iCs w:val="0"/>
                <w:color w:val="000000"/>
                <w:sz w:val="24"/>
                <w:szCs w:val="24"/>
                <w:highlight w:val="none"/>
                <w:u w:val="none"/>
              </w:rPr>
            </w:pPr>
          </w:p>
        </w:tc>
      </w:tr>
      <w:tr w14:paraId="66A5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AE2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三、净资产</w:t>
            </w: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3E2A">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7EB8">
            <w:pPr>
              <w:rPr>
                <w:rFonts w:hint="default" w:ascii="Times New Roman" w:hAnsi="Times New Roman" w:eastAsia="仿宋_GB2312" w:cs="Times New Roman"/>
                <w:i w:val="0"/>
                <w:iCs w:val="0"/>
                <w:color w:val="000000"/>
                <w:sz w:val="24"/>
                <w:szCs w:val="24"/>
                <w:highlight w:val="none"/>
                <w:u w:val="none"/>
              </w:rPr>
            </w:pPr>
          </w:p>
        </w:tc>
      </w:tr>
      <w:tr w14:paraId="7E0C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4193">
            <w:pPr>
              <w:rPr>
                <w:rFonts w:hint="default" w:ascii="Times New Roman" w:hAnsi="Times New Roman" w:eastAsia="仿宋_GB2312" w:cs="Times New Roman"/>
                <w:i w:val="0"/>
                <w:iCs w:val="0"/>
                <w:color w:val="000000"/>
                <w:sz w:val="24"/>
                <w:szCs w:val="24"/>
                <w:highlight w:val="none"/>
                <w:u w:val="none"/>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399C">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0DB3">
            <w:pPr>
              <w:rPr>
                <w:rFonts w:hint="default" w:ascii="Times New Roman" w:hAnsi="Times New Roman" w:eastAsia="仿宋_GB2312" w:cs="Times New Roman"/>
                <w:i w:val="0"/>
                <w:iCs w:val="0"/>
                <w:color w:val="000000"/>
                <w:sz w:val="24"/>
                <w:szCs w:val="24"/>
                <w:highlight w:val="none"/>
                <w:u w:val="none"/>
              </w:rPr>
            </w:pPr>
          </w:p>
        </w:tc>
      </w:tr>
      <w:tr w14:paraId="59C5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8A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调出单位名称</w:t>
            </w:r>
          </w:p>
        </w:tc>
        <w:tc>
          <w:tcPr>
            <w:tcW w:w="3474" w:type="dxa"/>
            <w:tcBorders>
              <w:top w:val="single" w:color="000000" w:sz="4" w:space="0"/>
              <w:left w:val="nil"/>
              <w:bottom w:val="single" w:color="000000" w:sz="4" w:space="0"/>
              <w:right w:val="nil"/>
            </w:tcBorders>
            <w:shd w:val="clear" w:color="auto" w:fill="auto"/>
            <w:noWrap/>
            <w:vAlign w:val="center"/>
          </w:tcPr>
          <w:p w14:paraId="207D4B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调出单位主管部门意见</w:t>
            </w:r>
          </w:p>
        </w:tc>
        <w:tc>
          <w:tcPr>
            <w:tcW w:w="4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B6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机关事务管理部门/财政部门意见</w:t>
            </w:r>
          </w:p>
        </w:tc>
      </w:tr>
      <w:tr w14:paraId="6686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2767524D">
            <w:pPr>
              <w:rPr>
                <w:rFonts w:hint="default" w:ascii="Times New Roman" w:hAnsi="Times New Roman" w:eastAsia="仿宋_GB2312" w:cs="Times New Roman"/>
                <w:i w:val="0"/>
                <w:iCs w:val="0"/>
                <w:color w:val="000000"/>
                <w:sz w:val="24"/>
                <w:szCs w:val="24"/>
                <w:highlight w:val="none"/>
                <w:u w:val="none"/>
              </w:rPr>
            </w:pPr>
          </w:p>
        </w:tc>
        <w:tc>
          <w:tcPr>
            <w:tcW w:w="3474" w:type="dxa"/>
            <w:tcBorders>
              <w:top w:val="single" w:color="000000" w:sz="4" w:space="0"/>
              <w:left w:val="nil"/>
              <w:bottom w:val="nil"/>
              <w:right w:val="nil"/>
            </w:tcBorders>
            <w:shd w:val="clear" w:color="auto" w:fill="auto"/>
            <w:noWrap/>
            <w:vAlign w:val="center"/>
          </w:tcPr>
          <w:p w14:paraId="38E6B598">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single" w:color="000000" w:sz="4" w:space="0"/>
              <w:left w:val="single" w:color="000000" w:sz="4" w:space="0"/>
              <w:bottom w:val="nil"/>
              <w:right w:val="single" w:color="000000" w:sz="4" w:space="0"/>
            </w:tcBorders>
            <w:shd w:val="clear" w:color="auto" w:fill="auto"/>
            <w:noWrap/>
            <w:vAlign w:val="center"/>
          </w:tcPr>
          <w:p w14:paraId="65806F30">
            <w:pPr>
              <w:rPr>
                <w:rFonts w:hint="default" w:ascii="Times New Roman" w:hAnsi="Times New Roman" w:eastAsia="仿宋_GB2312" w:cs="Times New Roman"/>
                <w:i w:val="0"/>
                <w:iCs w:val="0"/>
                <w:color w:val="000000"/>
                <w:sz w:val="24"/>
                <w:szCs w:val="24"/>
                <w:highlight w:val="none"/>
                <w:u w:val="none"/>
              </w:rPr>
            </w:pPr>
          </w:p>
        </w:tc>
      </w:tr>
      <w:tr w14:paraId="5F343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top w:val="nil"/>
              <w:left w:val="single" w:color="000000" w:sz="4" w:space="0"/>
              <w:bottom w:val="nil"/>
              <w:right w:val="single" w:color="000000" w:sz="4" w:space="0"/>
            </w:tcBorders>
            <w:shd w:val="clear" w:color="auto" w:fill="auto"/>
            <w:noWrap/>
            <w:vAlign w:val="center"/>
          </w:tcPr>
          <w:p w14:paraId="1E6B564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财务负责人：</w:t>
            </w:r>
          </w:p>
        </w:tc>
        <w:tc>
          <w:tcPr>
            <w:tcW w:w="3474" w:type="dxa"/>
            <w:tcBorders>
              <w:top w:val="nil"/>
              <w:left w:val="nil"/>
              <w:bottom w:val="nil"/>
              <w:right w:val="nil"/>
            </w:tcBorders>
            <w:shd w:val="clear" w:color="auto" w:fill="auto"/>
            <w:noWrap/>
            <w:vAlign w:val="center"/>
          </w:tcPr>
          <w:p w14:paraId="74DB03A0">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nil"/>
              <w:left w:val="single" w:color="000000" w:sz="4" w:space="0"/>
              <w:bottom w:val="nil"/>
              <w:right w:val="single" w:color="000000" w:sz="4" w:space="0"/>
            </w:tcBorders>
            <w:shd w:val="clear" w:color="auto" w:fill="auto"/>
            <w:noWrap/>
            <w:vAlign w:val="center"/>
          </w:tcPr>
          <w:p w14:paraId="7F41C74E">
            <w:pPr>
              <w:rPr>
                <w:rFonts w:hint="default" w:ascii="Times New Roman" w:hAnsi="Times New Roman" w:eastAsia="仿宋_GB2312" w:cs="Times New Roman"/>
                <w:i w:val="0"/>
                <w:iCs w:val="0"/>
                <w:color w:val="000000"/>
                <w:sz w:val="24"/>
                <w:szCs w:val="24"/>
                <w:highlight w:val="none"/>
                <w:u w:val="none"/>
              </w:rPr>
            </w:pPr>
          </w:p>
        </w:tc>
      </w:tr>
      <w:tr w14:paraId="20AC1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top w:val="nil"/>
              <w:left w:val="single" w:color="000000" w:sz="4" w:space="0"/>
              <w:bottom w:val="nil"/>
              <w:right w:val="single" w:color="000000" w:sz="4" w:space="0"/>
            </w:tcBorders>
            <w:shd w:val="clear" w:color="auto" w:fill="auto"/>
            <w:noWrap/>
            <w:vAlign w:val="center"/>
          </w:tcPr>
          <w:p w14:paraId="4A435EAC">
            <w:pPr>
              <w:rPr>
                <w:rFonts w:hint="default" w:ascii="Times New Roman" w:hAnsi="Times New Roman" w:eastAsia="仿宋_GB2312" w:cs="Times New Roman"/>
                <w:i w:val="0"/>
                <w:iCs w:val="0"/>
                <w:color w:val="000000"/>
                <w:sz w:val="24"/>
                <w:szCs w:val="24"/>
                <w:highlight w:val="none"/>
                <w:u w:val="none"/>
              </w:rPr>
            </w:pPr>
          </w:p>
        </w:tc>
        <w:tc>
          <w:tcPr>
            <w:tcW w:w="3474" w:type="dxa"/>
            <w:tcBorders>
              <w:top w:val="nil"/>
              <w:left w:val="nil"/>
              <w:bottom w:val="nil"/>
              <w:right w:val="nil"/>
            </w:tcBorders>
            <w:shd w:val="clear" w:color="auto" w:fill="auto"/>
            <w:noWrap/>
            <w:vAlign w:val="center"/>
          </w:tcPr>
          <w:p w14:paraId="3F24AAC4">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nil"/>
              <w:left w:val="single" w:color="000000" w:sz="4" w:space="0"/>
              <w:bottom w:val="nil"/>
              <w:right w:val="single" w:color="000000" w:sz="4" w:space="0"/>
            </w:tcBorders>
            <w:shd w:val="clear" w:color="auto" w:fill="auto"/>
            <w:noWrap/>
            <w:vAlign w:val="center"/>
          </w:tcPr>
          <w:p w14:paraId="7C991654">
            <w:pPr>
              <w:rPr>
                <w:rFonts w:hint="default" w:ascii="Times New Roman" w:hAnsi="Times New Roman" w:eastAsia="仿宋_GB2312" w:cs="Times New Roman"/>
                <w:i w:val="0"/>
                <w:iCs w:val="0"/>
                <w:color w:val="000000"/>
                <w:sz w:val="24"/>
                <w:szCs w:val="24"/>
                <w:highlight w:val="none"/>
                <w:u w:val="none"/>
              </w:rPr>
            </w:pPr>
          </w:p>
        </w:tc>
      </w:tr>
      <w:tr w14:paraId="5AEC7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top w:val="nil"/>
              <w:left w:val="single" w:color="000000" w:sz="4" w:space="0"/>
              <w:bottom w:val="nil"/>
              <w:right w:val="single" w:color="000000" w:sz="4" w:space="0"/>
            </w:tcBorders>
            <w:shd w:val="clear" w:color="auto" w:fill="auto"/>
            <w:noWrap/>
            <w:vAlign w:val="center"/>
          </w:tcPr>
          <w:p w14:paraId="3F9B74C4">
            <w:pPr>
              <w:rPr>
                <w:rFonts w:hint="default" w:ascii="Times New Roman" w:hAnsi="Times New Roman" w:eastAsia="仿宋_GB2312" w:cs="Times New Roman"/>
                <w:i w:val="0"/>
                <w:iCs w:val="0"/>
                <w:color w:val="000000"/>
                <w:sz w:val="24"/>
                <w:szCs w:val="24"/>
                <w:highlight w:val="none"/>
                <w:u w:val="none"/>
              </w:rPr>
            </w:pPr>
          </w:p>
        </w:tc>
        <w:tc>
          <w:tcPr>
            <w:tcW w:w="3474" w:type="dxa"/>
            <w:tcBorders>
              <w:top w:val="nil"/>
              <w:left w:val="nil"/>
              <w:bottom w:val="nil"/>
              <w:right w:val="nil"/>
            </w:tcBorders>
            <w:shd w:val="clear" w:color="auto" w:fill="auto"/>
            <w:noWrap/>
            <w:vAlign w:val="center"/>
          </w:tcPr>
          <w:p w14:paraId="73B588E6">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nil"/>
              <w:left w:val="single" w:color="000000" w:sz="4" w:space="0"/>
              <w:bottom w:val="nil"/>
              <w:right w:val="single" w:color="000000" w:sz="4" w:space="0"/>
            </w:tcBorders>
            <w:shd w:val="clear" w:color="auto" w:fill="auto"/>
            <w:noWrap/>
            <w:vAlign w:val="center"/>
          </w:tcPr>
          <w:p w14:paraId="22D9B51C">
            <w:pPr>
              <w:rPr>
                <w:rFonts w:hint="default" w:ascii="Times New Roman" w:hAnsi="Times New Roman" w:eastAsia="仿宋_GB2312" w:cs="Times New Roman"/>
                <w:i w:val="0"/>
                <w:iCs w:val="0"/>
                <w:color w:val="000000"/>
                <w:sz w:val="24"/>
                <w:szCs w:val="24"/>
                <w:highlight w:val="none"/>
                <w:u w:val="none"/>
              </w:rPr>
            </w:pPr>
          </w:p>
        </w:tc>
      </w:tr>
      <w:tr w14:paraId="014E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nil"/>
              <w:left w:val="single" w:color="000000" w:sz="4" w:space="0"/>
              <w:bottom w:val="nil"/>
              <w:right w:val="single" w:color="000000" w:sz="4" w:space="0"/>
            </w:tcBorders>
            <w:shd w:val="clear" w:color="auto" w:fill="auto"/>
            <w:noWrap/>
            <w:vAlign w:val="center"/>
          </w:tcPr>
          <w:p w14:paraId="45E7056E">
            <w:pPr>
              <w:rPr>
                <w:rFonts w:hint="default" w:ascii="Times New Roman" w:hAnsi="Times New Roman" w:eastAsia="仿宋_GB2312" w:cs="Times New Roman"/>
                <w:i w:val="0"/>
                <w:iCs w:val="0"/>
                <w:color w:val="000000"/>
                <w:sz w:val="24"/>
                <w:szCs w:val="24"/>
                <w:highlight w:val="none"/>
                <w:u w:val="none"/>
              </w:rPr>
            </w:pPr>
          </w:p>
        </w:tc>
        <w:tc>
          <w:tcPr>
            <w:tcW w:w="3474" w:type="dxa"/>
            <w:tcBorders>
              <w:top w:val="nil"/>
              <w:left w:val="nil"/>
              <w:bottom w:val="nil"/>
              <w:right w:val="nil"/>
            </w:tcBorders>
            <w:shd w:val="clear" w:color="auto" w:fill="auto"/>
            <w:noWrap/>
            <w:vAlign w:val="center"/>
          </w:tcPr>
          <w:p w14:paraId="74068AF8">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nil"/>
              <w:left w:val="single" w:color="000000" w:sz="4" w:space="0"/>
              <w:bottom w:val="nil"/>
              <w:right w:val="single" w:color="000000" w:sz="4" w:space="0"/>
            </w:tcBorders>
            <w:shd w:val="clear" w:color="auto" w:fill="auto"/>
            <w:noWrap/>
            <w:vAlign w:val="center"/>
          </w:tcPr>
          <w:p w14:paraId="0B2021A9">
            <w:pPr>
              <w:rPr>
                <w:rFonts w:hint="default" w:ascii="Times New Roman" w:hAnsi="Times New Roman" w:eastAsia="仿宋_GB2312" w:cs="Times New Roman"/>
                <w:i w:val="0"/>
                <w:iCs w:val="0"/>
                <w:color w:val="000000"/>
                <w:sz w:val="24"/>
                <w:szCs w:val="24"/>
                <w:highlight w:val="none"/>
                <w:u w:val="none"/>
              </w:rPr>
            </w:pPr>
          </w:p>
        </w:tc>
      </w:tr>
      <w:tr w14:paraId="1650C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top w:val="nil"/>
              <w:left w:val="single" w:color="000000" w:sz="4" w:space="0"/>
              <w:bottom w:val="nil"/>
              <w:right w:val="single" w:color="000000" w:sz="4" w:space="0"/>
            </w:tcBorders>
            <w:shd w:val="clear" w:color="auto" w:fill="auto"/>
            <w:noWrap/>
            <w:vAlign w:val="center"/>
          </w:tcPr>
          <w:p w14:paraId="5B28C4B7">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单位负责人：</w:t>
            </w:r>
          </w:p>
        </w:tc>
        <w:tc>
          <w:tcPr>
            <w:tcW w:w="3474" w:type="dxa"/>
            <w:tcBorders>
              <w:top w:val="nil"/>
              <w:left w:val="nil"/>
              <w:bottom w:val="nil"/>
              <w:right w:val="nil"/>
            </w:tcBorders>
            <w:shd w:val="clear" w:color="auto" w:fill="auto"/>
            <w:noWrap/>
            <w:vAlign w:val="center"/>
          </w:tcPr>
          <w:p w14:paraId="1680F95D">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nil"/>
              <w:left w:val="single" w:color="000000" w:sz="4" w:space="0"/>
              <w:bottom w:val="nil"/>
              <w:right w:val="single" w:color="000000" w:sz="4" w:space="0"/>
            </w:tcBorders>
            <w:shd w:val="clear" w:color="auto" w:fill="auto"/>
            <w:noWrap/>
            <w:vAlign w:val="center"/>
          </w:tcPr>
          <w:p w14:paraId="69AA8147">
            <w:pPr>
              <w:rPr>
                <w:rFonts w:hint="default" w:ascii="Times New Roman" w:hAnsi="Times New Roman" w:eastAsia="仿宋_GB2312" w:cs="Times New Roman"/>
                <w:i w:val="0"/>
                <w:iCs w:val="0"/>
                <w:color w:val="000000"/>
                <w:sz w:val="24"/>
                <w:szCs w:val="24"/>
                <w:highlight w:val="none"/>
                <w:u w:val="none"/>
              </w:rPr>
            </w:pPr>
          </w:p>
        </w:tc>
      </w:tr>
      <w:tr w14:paraId="6C90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top w:val="nil"/>
              <w:left w:val="single" w:color="000000" w:sz="4" w:space="0"/>
              <w:bottom w:val="nil"/>
              <w:right w:val="single" w:color="000000" w:sz="4" w:space="0"/>
            </w:tcBorders>
            <w:shd w:val="clear" w:color="auto" w:fill="auto"/>
            <w:noWrap/>
            <w:vAlign w:val="center"/>
          </w:tcPr>
          <w:p w14:paraId="146DB4E0">
            <w:pPr>
              <w:rPr>
                <w:rFonts w:hint="default" w:ascii="Times New Roman" w:hAnsi="Times New Roman" w:eastAsia="仿宋_GB2312" w:cs="Times New Roman"/>
                <w:i w:val="0"/>
                <w:iCs w:val="0"/>
                <w:color w:val="000000"/>
                <w:sz w:val="24"/>
                <w:szCs w:val="24"/>
                <w:highlight w:val="none"/>
                <w:u w:val="none"/>
              </w:rPr>
            </w:pPr>
          </w:p>
        </w:tc>
        <w:tc>
          <w:tcPr>
            <w:tcW w:w="3474" w:type="dxa"/>
            <w:tcBorders>
              <w:top w:val="nil"/>
              <w:left w:val="nil"/>
              <w:bottom w:val="nil"/>
              <w:right w:val="nil"/>
            </w:tcBorders>
            <w:shd w:val="clear" w:color="auto" w:fill="auto"/>
            <w:noWrap/>
            <w:vAlign w:val="center"/>
          </w:tcPr>
          <w:p w14:paraId="02B75973">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nil"/>
              <w:left w:val="single" w:color="000000" w:sz="4" w:space="0"/>
              <w:bottom w:val="nil"/>
              <w:right w:val="single" w:color="000000" w:sz="4" w:space="0"/>
            </w:tcBorders>
            <w:shd w:val="clear" w:color="auto" w:fill="auto"/>
            <w:noWrap/>
            <w:vAlign w:val="center"/>
          </w:tcPr>
          <w:p w14:paraId="5A2993CC">
            <w:pPr>
              <w:rPr>
                <w:rFonts w:hint="default" w:ascii="Times New Roman" w:hAnsi="Times New Roman" w:eastAsia="仿宋_GB2312" w:cs="Times New Roman"/>
                <w:i w:val="0"/>
                <w:iCs w:val="0"/>
                <w:color w:val="000000"/>
                <w:sz w:val="24"/>
                <w:szCs w:val="24"/>
                <w:highlight w:val="none"/>
                <w:u w:val="none"/>
              </w:rPr>
            </w:pPr>
          </w:p>
        </w:tc>
      </w:tr>
      <w:tr w14:paraId="40BF4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nil"/>
              <w:left w:val="single" w:color="000000" w:sz="4" w:space="0"/>
              <w:bottom w:val="nil"/>
              <w:right w:val="single" w:color="000000" w:sz="4" w:space="0"/>
            </w:tcBorders>
            <w:shd w:val="clear" w:color="auto" w:fill="auto"/>
            <w:noWrap/>
            <w:vAlign w:val="center"/>
          </w:tcPr>
          <w:p w14:paraId="5A4A6C4A">
            <w:pPr>
              <w:rPr>
                <w:rFonts w:hint="default" w:ascii="Times New Roman" w:hAnsi="Times New Roman" w:eastAsia="仿宋_GB2312" w:cs="Times New Roman"/>
                <w:i w:val="0"/>
                <w:iCs w:val="0"/>
                <w:color w:val="000000"/>
                <w:sz w:val="24"/>
                <w:szCs w:val="24"/>
                <w:highlight w:val="none"/>
                <w:u w:val="none"/>
              </w:rPr>
            </w:pPr>
          </w:p>
        </w:tc>
        <w:tc>
          <w:tcPr>
            <w:tcW w:w="3474" w:type="dxa"/>
            <w:tcBorders>
              <w:top w:val="nil"/>
              <w:left w:val="nil"/>
              <w:bottom w:val="nil"/>
              <w:right w:val="nil"/>
            </w:tcBorders>
            <w:shd w:val="clear" w:color="auto" w:fill="auto"/>
            <w:noWrap/>
            <w:vAlign w:val="center"/>
          </w:tcPr>
          <w:p w14:paraId="20121BDA">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nil"/>
              <w:left w:val="single" w:color="000000" w:sz="4" w:space="0"/>
              <w:bottom w:val="nil"/>
              <w:right w:val="single" w:color="000000" w:sz="4" w:space="0"/>
            </w:tcBorders>
            <w:shd w:val="clear" w:color="auto" w:fill="auto"/>
            <w:noWrap/>
            <w:vAlign w:val="center"/>
          </w:tcPr>
          <w:p w14:paraId="1D5F7BB5">
            <w:pPr>
              <w:rPr>
                <w:rFonts w:hint="default" w:ascii="Times New Roman" w:hAnsi="Times New Roman" w:eastAsia="仿宋_GB2312" w:cs="Times New Roman"/>
                <w:i w:val="0"/>
                <w:iCs w:val="0"/>
                <w:color w:val="000000"/>
                <w:sz w:val="24"/>
                <w:szCs w:val="24"/>
                <w:highlight w:val="none"/>
                <w:u w:val="none"/>
              </w:rPr>
            </w:pPr>
          </w:p>
        </w:tc>
      </w:tr>
      <w:tr w14:paraId="22A9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top w:val="nil"/>
              <w:left w:val="single" w:color="000000" w:sz="4" w:space="0"/>
              <w:bottom w:val="nil"/>
              <w:right w:val="single" w:color="000000" w:sz="4" w:space="0"/>
            </w:tcBorders>
            <w:shd w:val="clear" w:color="auto" w:fill="auto"/>
            <w:noWrap/>
            <w:vAlign w:val="center"/>
          </w:tcPr>
          <w:p w14:paraId="5005B3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（盖章）    </w:t>
            </w:r>
          </w:p>
        </w:tc>
        <w:tc>
          <w:tcPr>
            <w:tcW w:w="3474" w:type="dxa"/>
            <w:tcBorders>
              <w:top w:val="nil"/>
              <w:left w:val="nil"/>
              <w:bottom w:val="nil"/>
              <w:right w:val="nil"/>
            </w:tcBorders>
            <w:shd w:val="clear" w:color="auto" w:fill="auto"/>
            <w:noWrap/>
            <w:vAlign w:val="center"/>
          </w:tcPr>
          <w:p w14:paraId="5FF78B7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（盖章）    </w:t>
            </w:r>
          </w:p>
        </w:tc>
        <w:tc>
          <w:tcPr>
            <w:tcW w:w="4082" w:type="dxa"/>
            <w:tcBorders>
              <w:top w:val="nil"/>
              <w:left w:val="single" w:color="000000" w:sz="4" w:space="0"/>
              <w:bottom w:val="nil"/>
              <w:right w:val="single" w:color="000000" w:sz="4" w:space="0"/>
            </w:tcBorders>
            <w:shd w:val="clear" w:color="auto" w:fill="auto"/>
            <w:noWrap/>
            <w:vAlign w:val="center"/>
          </w:tcPr>
          <w:p w14:paraId="084F02C7">
            <w:pPr>
              <w:jc w:val="right"/>
              <w:rPr>
                <w:rFonts w:hint="default" w:ascii="Times New Roman" w:hAnsi="Times New Roman" w:eastAsia="仿宋_GB2312" w:cs="Times New Roman"/>
                <w:i w:val="0"/>
                <w:iCs w:val="0"/>
                <w:color w:val="000000"/>
                <w:sz w:val="24"/>
                <w:szCs w:val="24"/>
                <w:highlight w:val="none"/>
                <w:u w:val="none"/>
              </w:rPr>
            </w:pPr>
          </w:p>
        </w:tc>
      </w:tr>
      <w:tr w14:paraId="4608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D2AC399">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年  月  日</w:t>
            </w:r>
          </w:p>
        </w:tc>
        <w:tc>
          <w:tcPr>
            <w:tcW w:w="3474" w:type="dxa"/>
            <w:tcBorders>
              <w:top w:val="nil"/>
              <w:left w:val="nil"/>
              <w:bottom w:val="single" w:color="000000" w:sz="4" w:space="0"/>
              <w:right w:val="nil"/>
            </w:tcBorders>
            <w:shd w:val="clear" w:color="auto" w:fill="auto"/>
            <w:noWrap/>
            <w:vAlign w:val="center"/>
          </w:tcPr>
          <w:p w14:paraId="617629B6">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年  月  日</w:t>
            </w:r>
          </w:p>
        </w:tc>
        <w:tc>
          <w:tcPr>
            <w:tcW w:w="4082" w:type="dxa"/>
            <w:tcBorders>
              <w:top w:val="nil"/>
              <w:left w:val="single" w:color="000000" w:sz="4" w:space="0"/>
              <w:bottom w:val="nil"/>
              <w:right w:val="single" w:color="000000" w:sz="4" w:space="0"/>
            </w:tcBorders>
            <w:shd w:val="clear" w:color="auto" w:fill="auto"/>
            <w:noWrap/>
            <w:vAlign w:val="center"/>
          </w:tcPr>
          <w:p w14:paraId="5D9ECE7B">
            <w:pPr>
              <w:jc w:val="right"/>
              <w:rPr>
                <w:rFonts w:hint="default" w:ascii="Times New Roman" w:hAnsi="Times New Roman" w:eastAsia="仿宋_GB2312" w:cs="Times New Roman"/>
                <w:i w:val="0"/>
                <w:iCs w:val="0"/>
                <w:color w:val="000000"/>
                <w:sz w:val="24"/>
                <w:szCs w:val="24"/>
                <w:highlight w:val="none"/>
                <w:u w:val="none"/>
              </w:rPr>
            </w:pPr>
          </w:p>
        </w:tc>
      </w:tr>
      <w:tr w14:paraId="5CDB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96BDA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调入单位名称</w:t>
            </w:r>
          </w:p>
        </w:tc>
        <w:tc>
          <w:tcPr>
            <w:tcW w:w="3474" w:type="dxa"/>
            <w:tcBorders>
              <w:top w:val="single" w:color="000000" w:sz="4" w:space="0"/>
              <w:left w:val="single" w:color="000000" w:sz="4" w:space="0"/>
              <w:bottom w:val="single" w:color="000000" w:sz="4" w:space="0"/>
              <w:right w:val="nil"/>
            </w:tcBorders>
            <w:shd w:val="clear" w:color="auto" w:fill="auto"/>
            <w:noWrap/>
            <w:vAlign w:val="center"/>
          </w:tcPr>
          <w:p w14:paraId="127DF7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调入单位主管部门意见</w:t>
            </w:r>
          </w:p>
        </w:tc>
        <w:tc>
          <w:tcPr>
            <w:tcW w:w="4082" w:type="dxa"/>
            <w:tcBorders>
              <w:top w:val="nil"/>
              <w:left w:val="single" w:color="000000" w:sz="4" w:space="0"/>
              <w:bottom w:val="nil"/>
              <w:right w:val="single" w:color="000000" w:sz="4" w:space="0"/>
            </w:tcBorders>
            <w:shd w:val="clear" w:color="auto" w:fill="auto"/>
            <w:noWrap/>
            <w:vAlign w:val="center"/>
          </w:tcPr>
          <w:p w14:paraId="54697C55">
            <w:pPr>
              <w:jc w:val="center"/>
              <w:rPr>
                <w:rFonts w:hint="default" w:ascii="Times New Roman" w:hAnsi="Times New Roman" w:eastAsia="仿宋_GB2312" w:cs="Times New Roman"/>
                <w:i w:val="0"/>
                <w:iCs w:val="0"/>
                <w:color w:val="000000"/>
                <w:sz w:val="24"/>
                <w:szCs w:val="24"/>
                <w:highlight w:val="none"/>
                <w:u w:val="none"/>
              </w:rPr>
            </w:pPr>
          </w:p>
        </w:tc>
      </w:tr>
      <w:tr w14:paraId="5A4A6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0" w:type="auto"/>
            <w:tcBorders>
              <w:top w:val="nil"/>
              <w:left w:val="single" w:color="000000" w:sz="4" w:space="0"/>
              <w:bottom w:val="nil"/>
              <w:right w:val="nil"/>
            </w:tcBorders>
            <w:shd w:val="clear" w:color="auto" w:fill="auto"/>
            <w:noWrap/>
            <w:vAlign w:val="center"/>
          </w:tcPr>
          <w:p w14:paraId="78B26F42">
            <w:pPr>
              <w:rPr>
                <w:rFonts w:hint="default" w:ascii="Times New Roman" w:hAnsi="Times New Roman" w:eastAsia="仿宋_GB2312" w:cs="Times New Roman"/>
                <w:i w:val="0"/>
                <w:iCs w:val="0"/>
                <w:color w:val="000000"/>
                <w:sz w:val="24"/>
                <w:szCs w:val="24"/>
                <w:highlight w:val="none"/>
                <w:u w:val="none"/>
              </w:rPr>
            </w:pPr>
          </w:p>
        </w:tc>
        <w:tc>
          <w:tcPr>
            <w:tcW w:w="3474" w:type="dxa"/>
            <w:tcBorders>
              <w:top w:val="nil"/>
              <w:left w:val="single" w:color="000000" w:sz="4" w:space="0"/>
              <w:bottom w:val="nil"/>
              <w:right w:val="single" w:color="000000" w:sz="4" w:space="0"/>
            </w:tcBorders>
            <w:shd w:val="clear" w:color="auto" w:fill="auto"/>
            <w:noWrap/>
            <w:vAlign w:val="center"/>
          </w:tcPr>
          <w:p w14:paraId="03177B7A">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nil"/>
              <w:left w:val="nil"/>
              <w:bottom w:val="nil"/>
              <w:right w:val="single" w:color="000000" w:sz="4" w:space="0"/>
            </w:tcBorders>
            <w:shd w:val="clear" w:color="auto" w:fill="auto"/>
            <w:noWrap/>
            <w:vAlign w:val="center"/>
          </w:tcPr>
          <w:p w14:paraId="2A0151AB">
            <w:pPr>
              <w:rPr>
                <w:rFonts w:hint="default" w:ascii="Times New Roman" w:hAnsi="Times New Roman" w:eastAsia="仿宋_GB2312" w:cs="Times New Roman"/>
                <w:i w:val="0"/>
                <w:iCs w:val="0"/>
                <w:color w:val="000000"/>
                <w:sz w:val="24"/>
                <w:szCs w:val="24"/>
                <w:highlight w:val="none"/>
                <w:u w:val="none"/>
              </w:rPr>
            </w:pPr>
          </w:p>
        </w:tc>
      </w:tr>
      <w:tr w14:paraId="2648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top w:val="nil"/>
              <w:left w:val="single" w:color="000000" w:sz="4" w:space="0"/>
              <w:bottom w:val="nil"/>
              <w:right w:val="nil"/>
            </w:tcBorders>
            <w:shd w:val="clear" w:color="auto" w:fill="auto"/>
            <w:noWrap/>
            <w:vAlign w:val="center"/>
          </w:tcPr>
          <w:p w14:paraId="6540ACA9">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财务负责人：</w:t>
            </w:r>
          </w:p>
        </w:tc>
        <w:tc>
          <w:tcPr>
            <w:tcW w:w="3474" w:type="dxa"/>
            <w:tcBorders>
              <w:top w:val="nil"/>
              <w:left w:val="single" w:color="000000" w:sz="4" w:space="0"/>
              <w:bottom w:val="nil"/>
              <w:right w:val="single" w:color="000000" w:sz="4" w:space="0"/>
            </w:tcBorders>
            <w:shd w:val="clear" w:color="auto" w:fill="auto"/>
            <w:noWrap/>
            <w:vAlign w:val="center"/>
          </w:tcPr>
          <w:p w14:paraId="23770419">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nil"/>
              <w:left w:val="nil"/>
              <w:bottom w:val="nil"/>
              <w:right w:val="single" w:color="000000" w:sz="4" w:space="0"/>
            </w:tcBorders>
            <w:shd w:val="clear" w:color="auto" w:fill="auto"/>
            <w:noWrap/>
            <w:vAlign w:val="center"/>
          </w:tcPr>
          <w:p w14:paraId="55059AB8">
            <w:pPr>
              <w:rPr>
                <w:rFonts w:hint="default" w:ascii="Times New Roman" w:hAnsi="Times New Roman" w:eastAsia="仿宋_GB2312" w:cs="Times New Roman"/>
                <w:i w:val="0"/>
                <w:iCs w:val="0"/>
                <w:color w:val="000000"/>
                <w:sz w:val="24"/>
                <w:szCs w:val="24"/>
                <w:highlight w:val="none"/>
                <w:u w:val="none"/>
              </w:rPr>
            </w:pPr>
          </w:p>
        </w:tc>
      </w:tr>
      <w:tr w14:paraId="38EF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top w:val="nil"/>
              <w:left w:val="single" w:color="000000" w:sz="4" w:space="0"/>
              <w:bottom w:val="nil"/>
              <w:right w:val="nil"/>
            </w:tcBorders>
            <w:shd w:val="clear" w:color="auto" w:fill="auto"/>
            <w:noWrap/>
            <w:vAlign w:val="center"/>
          </w:tcPr>
          <w:p w14:paraId="5E866E59">
            <w:pPr>
              <w:rPr>
                <w:rFonts w:hint="default" w:ascii="Times New Roman" w:hAnsi="Times New Roman" w:eastAsia="仿宋_GB2312" w:cs="Times New Roman"/>
                <w:i w:val="0"/>
                <w:iCs w:val="0"/>
                <w:color w:val="000000"/>
                <w:sz w:val="24"/>
                <w:szCs w:val="24"/>
                <w:highlight w:val="none"/>
                <w:u w:val="none"/>
              </w:rPr>
            </w:pPr>
          </w:p>
        </w:tc>
        <w:tc>
          <w:tcPr>
            <w:tcW w:w="3474" w:type="dxa"/>
            <w:tcBorders>
              <w:top w:val="nil"/>
              <w:left w:val="single" w:color="000000" w:sz="4" w:space="0"/>
              <w:bottom w:val="nil"/>
              <w:right w:val="single" w:color="000000" w:sz="4" w:space="0"/>
            </w:tcBorders>
            <w:shd w:val="clear" w:color="auto" w:fill="auto"/>
            <w:noWrap/>
            <w:vAlign w:val="center"/>
          </w:tcPr>
          <w:p w14:paraId="29751C7A">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nil"/>
              <w:left w:val="nil"/>
              <w:bottom w:val="nil"/>
              <w:right w:val="single" w:color="000000" w:sz="4" w:space="0"/>
            </w:tcBorders>
            <w:shd w:val="clear" w:color="auto" w:fill="auto"/>
            <w:noWrap/>
            <w:vAlign w:val="center"/>
          </w:tcPr>
          <w:p w14:paraId="3AE65066">
            <w:pPr>
              <w:rPr>
                <w:rFonts w:hint="default" w:ascii="Times New Roman" w:hAnsi="Times New Roman" w:eastAsia="仿宋_GB2312" w:cs="Times New Roman"/>
                <w:i w:val="0"/>
                <w:iCs w:val="0"/>
                <w:color w:val="000000"/>
                <w:sz w:val="24"/>
                <w:szCs w:val="24"/>
                <w:highlight w:val="none"/>
                <w:u w:val="none"/>
              </w:rPr>
            </w:pPr>
          </w:p>
        </w:tc>
      </w:tr>
      <w:tr w14:paraId="3773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top w:val="nil"/>
              <w:left w:val="single" w:color="000000" w:sz="4" w:space="0"/>
              <w:bottom w:val="nil"/>
              <w:right w:val="nil"/>
            </w:tcBorders>
            <w:shd w:val="clear" w:color="auto" w:fill="auto"/>
            <w:noWrap/>
            <w:vAlign w:val="center"/>
          </w:tcPr>
          <w:p w14:paraId="1EC47B76">
            <w:pPr>
              <w:rPr>
                <w:rFonts w:hint="default" w:ascii="Times New Roman" w:hAnsi="Times New Roman" w:eastAsia="仿宋_GB2312" w:cs="Times New Roman"/>
                <w:i w:val="0"/>
                <w:iCs w:val="0"/>
                <w:color w:val="000000"/>
                <w:sz w:val="24"/>
                <w:szCs w:val="24"/>
                <w:highlight w:val="none"/>
                <w:u w:val="none"/>
              </w:rPr>
            </w:pPr>
          </w:p>
        </w:tc>
        <w:tc>
          <w:tcPr>
            <w:tcW w:w="3474" w:type="dxa"/>
            <w:tcBorders>
              <w:top w:val="nil"/>
              <w:left w:val="single" w:color="000000" w:sz="4" w:space="0"/>
              <w:bottom w:val="nil"/>
              <w:right w:val="single" w:color="000000" w:sz="4" w:space="0"/>
            </w:tcBorders>
            <w:shd w:val="clear" w:color="auto" w:fill="auto"/>
            <w:noWrap/>
            <w:vAlign w:val="center"/>
          </w:tcPr>
          <w:p w14:paraId="386273F6">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nil"/>
              <w:left w:val="nil"/>
              <w:bottom w:val="nil"/>
              <w:right w:val="single" w:color="000000" w:sz="4" w:space="0"/>
            </w:tcBorders>
            <w:shd w:val="clear" w:color="auto" w:fill="auto"/>
            <w:noWrap/>
            <w:vAlign w:val="center"/>
          </w:tcPr>
          <w:p w14:paraId="73F7F911">
            <w:pPr>
              <w:rPr>
                <w:rFonts w:hint="default" w:ascii="Times New Roman" w:hAnsi="Times New Roman" w:eastAsia="仿宋_GB2312" w:cs="Times New Roman"/>
                <w:i w:val="0"/>
                <w:iCs w:val="0"/>
                <w:color w:val="000000"/>
                <w:sz w:val="24"/>
                <w:szCs w:val="24"/>
                <w:highlight w:val="none"/>
                <w:u w:val="none"/>
              </w:rPr>
            </w:pPr>
          </w:p>
        </w:tc>
      </w:tr>
      <w:tr w14:paraId="3377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top w:val="nil"/>
              <w:left w:val="single" w:color="000000" w:sz="4" w:space="0"/>
              <w:bottom w:val="nil"/>
              <w:right w:val="nil"/>
            </w:tcBorders>
            <w:shd w:val="clear" w:color="auto" w:fill="auto"/>
            <w:noWrap/>
            <w:vAlign w:val="center"/>
          </w:tcPr>
          <w:p w14:paraId="05EFD96A">
            <w:pPr>
              <w:rPr>
                <w:rFonts w:hint="default" w:ascii="Times New Roman" w:hAnsi="Times New Roman" w:eastAsia="仿宋_GB2312" w:cs="Times New Roman"/>
                <w:i w:val="0"/>
                <w:iCs w:val="0"/>
                <w:color w:val="000000"/>
                <w:sz w:val="24"/>
                <w:szCs w:val="24"/>
                <w:highlight w:val="none"/>
                <w:u w:val="none"/>
              </w:rPr>
            </w:pPr>
          </w:p>
        </w:tc>
        <w:tc>
          <w:tcPr>
            <w:tcW w:w="3474" w:type="dxa"/>
            <w:tcBorders>
              <w:top w:val="nil"/>
              <w:left w:val="single" w:color="000000" w:sz="4" w:space="0"/>
              <w:bottom w:val="nil"/>
              <w:right w:val="single" w:color="000000" w:sz="4" w:space="0"/>
            </w:tcBorders>
            <w:shd w:val="clear" w:color="auto" w:fill="auto"/>
            <w:noWrap/>
            <w:vAlign w:val="center"/>
          </w:tcPr>
          <w:p w14:paraId="2E1D67BB">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nil"/>
              <w:left w:val="nil"/>
              <w:bottom w:val="nil"/>
              <w:right w:val="single" w:color="000000" w:sz="4" w:space="0"/>
            </w:tcBorders>
            <w:shd w:val="clear" w:color="auto" w:fill="auto"/>
            <w:noWrap/>
            <w:vAlign w:val="center"/>
          </w:tcPr>
          <w:p w14:paraId="166E7568">
            <w:pPr>
              <w:rPr>
                <w:rFonts w:hint="default" w:ascii="Times New Roman" w:hAnsi="Times New Roman" w:eastAsia="仿宋_GB2312" w:cs="Times New Roman"/>
                <w:i w:val="0"/>
                <w:iCs w:val="0"/>
                <w:color w:val="000000"/>
                <w:sz w:val="24"/>
                <w:szCs w:val="24"/>
                <w:highlight w:val="none"/>
                <w:u w:val="none"/>
              </w:rPr>
            </w:pPr>
          </w:p>
        </w:tc>
      </w:tr>
      <w:tr w14:paraId="03A3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nil"/>
              <w:left w:val="single" w:color="000000" w:sz="4" w:space="0"/>
              <w:bottom w:val="nil"/>
              <w:right w:val="nil"/>
            </w:tcBorders>
            <w:shd w:val="clear" w:color="auto" w:fill="auto"/>
            <w:noWrap/>
            <w:vAlign w:val="center"/>
          </w:tcPr>
          <w:p w14:paraId="7FDF688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单位负责人</w:t>
            </w:r>
          </w:p>
        </w:tc>
        <w:tc>
          <w:tcPr>
            <w:tcW w:w="3474" w:type="dxa"/>
            <w:tcBorders>
              <w:top w:val="nil"/>
              <w:left w:val="single" w:color="000000" w:sz="4" w:space="0"/>
              <w:bottom w:val="nil"/>
              <w:right w:val="single" w:color="000000" w:sz="4" w:space="0"/>
            </w:tcBorders>
            <w:shd w:val="clear" w:color="auto" w:fill="auto"/>
            <w:noWrap/>
            <w:vAlign w:val="center"/>
          </w:tcPr>
          <w:p w14:paraId="48473ABF">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nil"/>
              <w:left w:val="nil"/>
              <w:bottom w:val="nil"/>
              <w:right w:val="single" w:color="000000" w:sz="4" w:space="0"/>
            </w:tcBorders>
            <w:shd w:val="clear" w:color="auto" w:fill="auto"/>
            <w:noWrap/>
            <w:vAlign w:val="center"/>
          </w:tcPr>
          <w:p w14:paraId="1511B688">
            <w:pPr>
              <w:rPr>
                <w:rFonts w:hint="default" w:ascii="Times New Roman" w:hAnsi="Times New Roman" w:eastAsia="仿宋_GB2312" w:cs="Times New Roman"/>
                <w:i w:val="0"/>
                <w:iCs w:val="0"/>
                <w:color w:val="000000"/>
                <w:sz w:val="24"/>
                <w:szCs w:val="24"/>
                <w:highlight w:val="none"/>
                <w:u w:val="none"/>
              </w:rPr>
            </w:pPr>
          </w:p>
        </w:tc>
      </w:tr>
      <w:tr w14:paraId="5A50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0" w:type="auto"/>
            <w:tcBorders>
              <w:top w:val="nil"/>
              <w:left w:val="single" w:color="000000" w:sz="4" w:space="0"/>
              <w:bottom w:val="nil"/>
              <w:right w:val="nil"/>
            </w:tcBorders>
            <w:shd w:val="clear" w:color="auto" w:fill="auto"/>
            <w:noWrap/>
            <w:vAlign w:val="center"/>
          </w:tcPr>
          <w:p w14:paraId="680F49E3">
            <w:pPr>
              <w:rPr>
                <w:rFonts w:hint="default" w:ascii="Times New Roman" w:hAnsi="Times New Roman" w:eastAsia="仿宋_GB2312" w:cs="Times New Roman"/>
                <w:i w:val="0"/>
                <w:iCs w:val="0"/>
                <w:color w:val="000000"/>
                <w:sz w:val="24"/>
                <w:szCs w:val="24"/>
                <w:highlight w:val="none"/>
                <w:u w:val="none"/>
              </w:rPr>
            </w:pPr>
          </w:p>
        </w:tc>
        <w:tc>
          <w:tcPr>
            <w:tcW w:w="3474" w:type="dxa"/>
            <w:tcBorders>
              <w:top w:val="nil"/>
              <w:left w:val="single" w:color="000000" w:sz="4" w:space="0"/>
              <w:bottom w:val="nil"/>
              <w:right w:val="single" w:color="000000" w:sz="4" w:space="0"/>
            </w:tcBorders>
            <w:shd w:val="clear" w:color="auto" w:fill="auto"/>
            <w:noWrap/>
            <w:vAlign w:val="center"/>
          </w:tcPr>
          <w:p w14:paraId="04484070">
            <w:pPr>
              <w:rPr>
                <w:rFonts w:hint="default" w:ascii="Times New Roman" w:hAnsi="Times New Roman" w:eastAsia="仿宋_GB2312" w:cs="Times New Roman"/>
                <w:i w:val="0"/>
                <w:iCs w:val="0"/>
                <w:color w:val="000000"/>
                <w:sz w:val="24"/>
                <w:szCs w:val="24"/>
                <w:highlight w:val="none"/>
                <w:u w:val="none"/>
              </w:rPr>
            </w:pPr>
          </w:p>
        </w:tc>
        <w:tc>
          <w:tcPr>
            <w:tcW w:w="4082" w:type="dxa"/>
            <w:tcBorders>
              <w:top w:val="nil"/>
              <w:left w:val="nil"/>
              <w:bottom w:val="nil"/>
              <w:right w:val="single" w:color="000000" w:sz="4" w:space="0"/>
            </w:tcBorders>
            <w:shd w:val="clear" w:color="auto" w:fill="auto"/>
            <w:noWrap/>
            <w:vAlign w:val="center"/>
          </w:tcPr>
          <w:p w14:paraId="19995003">
            <w:pPr>
              <w:rPr>
                <w:rFonts w:hint="default" w:ascii="Times New Roman" w:hAnsi="Times New Roman" w:eastAsia="仿宋_GB2312" w:cs="Times New Roman"/>
                <w:i w:val="0"/>
                <w:iCs w:val="0"/>
                <w:color w:val="000000"/>
                <w:sz w:val="24"/>
                <w:szCs w:val="24"/>
                <w:highlight w:val="none"/>
                <w:u w:val="none"/>
              </w:rPr>
            </w:pPr>
          </w:p>
        </w:tc>
      </w:tr>
      <w:tr w14:paraId="6AA9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0" w:type="auto"/>
            <w:tcBorders>
              <w:top w:val="nil"/>
              <w:left w:val="single" w:color="000000" w:sz="4" w:space="0"/>
              <w:bottom w:val="nil"/>
              <w:right w:val="nil"/>
            </w:tcBorders>
            <w:shd w:val="clear" w:color="auto" w:fill="auto"/>
            <w:noWrap/>
            <w:vAlign w:val="center"/>
          </w:tcPr>
          <w:p w14:paraId="38A4F191">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（盖章）    </w:t>
            </w:r>
          </w:p>
        </w:tc>
        <w:tc>
          <w:tcPr>
            <w:tcW w:w="3474" w:type="dxa"/>
            <w:tcBorders>
              <w:top w:val="nil"/>
              <w:left w:val="single" w:color="000000" w:sz="4" w:space="0"/>
              <w:bottom w:val="nil"/>
              <w:right w:val="single" w:color="000000" w:sz="4" w:space="0"/>
            </w:tcBorders>
            <w:shd w:val="clear" w:color="auto" w:fill="auto"/>
            <w:noWrap/>
            <w:vAlign w:val="center"/>
          </w:tcPr>
          <w:p w14:paraId="3AA10614">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（盖章）    </w:t>
            </w:r>
          </w:p>
        </w:tc>
        <w:tc>
          <w:tcPr>
            <w:tcW w:w="4082" w:type="dxa"/>
            <w:tcBorders>
              <w:top w:val="nil"/>
              <w:left w:val="nil"/>
              <w:bottom w:val="nil"/>
              <w:right w:val="single" w:color="000000" w:sz="4" w:space="0"/>
            </w:tcBorders>
            <w:shd w:val="clear" w:color="auto" w:fill="auto"/>
            <w:noWrap/>
            <w:vAlign w:val="center"/>
          </w:tcPr>
          <w:p w14:paraId="0443F7A8">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（盖章）    </w:t>
            </w:r>
          </w:p>
        </w:tc>
      </w:tr>
      <w:tr w14:paraId="22E7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nil"/>
              <w:left w:val="single" w:color="000000" w:sz="4" w:space="0"/>
              <w:bottom w:val="nil"/>
              <w:right w:val="nil"/>
            </w:tcBorders>
            <w:shd w:val="clear" w:color="auto" w:fill="auto"/>
            <w:noWrap/>
            <w:vAlign w:val="center"/>
          </w:tcPr>
          <w:p w14:paraId="09A633D7">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年  月  日</w:t>
            </w:r>
          </w:p>
        </w:tc>
        <w:tc>
          <w:tcPr>
            <w:tcW w:w="3474" w:type="dxa"/>
            <w:tcBorders>
              <w:top w:val="nil"/>
              <w:left w:val="single" w:color="000000" w:sz="4" w:space="0"/>
              <w:bottom w:val="single" w:color="000000" w:sz="4" w:space="0"/>
              <w:right w:val="single" w:color="000000" w:sz="4" w:space="0"/>
            </w:tcBorders>
            <w:shd w:val="clear" w:color="auto" w:fill="auto"/>
            <w:noWrap/>
            <w:vAlign w:val="center"/>
          </w:tcPr>
          <w:p w14:paraId="50FBFEBA">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年  月  日</w:t>
            </w:r>
          </w:p>
        </w:tc>
        <w:tc>
          <w:tcPr>
            <w:tcW w:w="4082" w:type="dxa"/>
            <w:tcBorders>
              <w:top w:val="nil"/>
              <w:left w:val="nil"/>
              <w:bottom w:val="single" w:color="000000" w:sz="4" w:space="0"/>
              <w:right w:val="single" w:color="000000" w:sz="4" w:space="0"/>
            </w:tcBorders>
            <w:shd w:val="clear" w:color="auto" w:fill="auto"/>
            <w:noWrap/>
            <w:vAlign w:val="center"/>
          </w:tcPr>
          <w:p w14:paraId="205B2C1E">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年  月  日</w:t>
            </w:r>
          </w:p>
        </w:tc>
      </w:tr>
      <w:tr w14:paraId="7970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06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BD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有    关    事    项     说    明</w:t>
            </w:r>
          </w:p>
        </w:tc>
      </w:tr>
      <w:tr w14:paraId="42AE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74" w:type="dxa"/>
            <w:gridSpan w:val="3"/>
            <w:vMerge w:val="restart"/>
            <w:tcBorders>
              <w:top w:val="nil"/>
              <w:left w:val="single" w:color="000000" w:sz="4" w:space="0"/>
              <w:bottom w:val="single" w:color="000000" w:sz="4" w:space="0"/>
              <w:right w:val="single" w:color="000000" w:sz="4" w:space="0"/>
            </w:tcBorders>
            <w:shd w:val="clear" w:color="auto" w:fill="auto"/>
            <w:noWrap/>
            <w:vAlign w:val="bottom"/>
          </w:tcPr>
          <w:p w14:paraId="492C2494">
            <w:pPr>
              <w:jc w:val="center"/>
              <w:rPr>
                <w:rFonts w:hint="default" w:ascii="Times New Roman" w:hAnsi="Times New Roman" w:eastAsia="仿宋_GB2312" w:cs="Times New Roman"/>
                <w:i w:val="0"/>
                <w:iCs w:val="0"/>
                <w:color w:val="000000"/>
                <w:sz w:val="24"/>
                <w:szCs w:val="24"/>
                <w:highlight w:val="none"/>
                <w:u w:val="none"/>
              </w:rPr>
            </w:pPr>
          </w:p>
        </w:tc>
      </w:tr>
      <w:tr w14:paraId="38BA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674" w:type="dxa"/>
            <w:gridSpan w:val="3"/>
            <w:vMerge w:val="continue"/>
            <w:tcBorders>
              <w:top w:val="nil"/>
              <w:left w:val="single" w:color="000000" w:sz="4" w:space="0"/>
              <w:bottom w:val="single" w:color="000000" w:sz="4" w:space="0"/>
              <w:right w:val="single" w:color="000000" w:sz="4" w:space="0"/>
            </w:tcBorders>
            <w:shd w:val="clear" w:color="auto" w:fill="auto"/>
            <w:noWrap/>
            <w:vAlign w:val="bottom"/>
          </w:tcPr>
          <w:p w14:paraId="4C8DE289">
            <w:pPr>
              <w:jc w:val="center"/>
              <w:rPr>
                <w:rFonts w:hint="default" w:ascii="Times New Roman" w:hAnsi="Times New Roman" w:eastAsia="仿宋_GB2312" w:cs="Times New Roman"/>
                <w:i w:val="0"/>
                <w:iCs w:val="0"/>
                <w:color w:val="000000"/>
                <w:sz w:val="24"/>
                <w:szCs w:val="24"/>
                <w:highlight w:val="none"/>
                <w:u w:val="none"/>
              </w:rPr>
            </w:pPr>
          </w:p>
        </w:tc>
      </w:tr>
      <w:tr w14:paraId="63FD5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0674" w:type="dxa"/>
            <w:gridSpan w:val="3"/>
            <w:tcBorders>
              <w:top w:val="single" w:color="000000" w:sz="4" w:space="0"/>
              <w:left w:val="nil"/>
              <w:bottom w:val="nil"/>
              <w:right w:val="nil"/>
            </w:tcBorders>
            <w:shd w:val="clear" w:color="auto" w:fill="auto"/>
            <w:vAlign w:val="bottom"/>
          </w:tcPr>
          <w:p w14:paraId="28289852">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说明：1、本表财务中心专管会计做账、机关事务管理部门/财政部门备案需原件。</w:t>
            </w:r>
          </w:p>
        </w:tc>
      </w:tr>
      <w:tr w14:paraId="53602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0674" w:type="dxa"/>
            <w:gridSpan w:val="3"/>
            <w:tcBorders>
              <w:top w:val="nil"/>
              <w:left w:val="nil"/>
              <w:bottom w:val="nil"/>
              <w:right w:val="nil"/>
            </w:tcBorders>
            <w:shd w:val="clear" w:color="auto" w:fill="auto"/>
            <w:noWrap/>
            <w:vAlign w:val="bottom"/>
          </w:tcPr>
          <w:p w14:paraId="73F4C706">
            <w:pPr>
              <w:keepNext w:val="0"/>
              <w:keepLines w:val="0"/>
              <w:pageBreakBefore w:val="0"/>
              <w:widowControl/>
              <w:suppressLineNumbers w:val="0"/>
              <w:kinsoku/>
              <w:wordWrap/>
              <w:overflowPunct/>
              <w:topLinePunct w:val="0"/>
              <w:autoSpaceDE/>
              <w:autoSpaceDN/>
              <w:bidi w:val="0"/>
              <w:adjustRightInd/>
              <w:snapToGrid/>
              <w:ind w:left="28"/>
              <w:jc w:val="left"/>
              <w:textAlignment w:val="bottom"/>
              <w:rPr>
                <w:rFonts w:hint="default" w:ascii="Times New Roman" w:hAnsi="Times New Roman" w:eastAsia="仿宋_GB2312" w:cs="Times New Roman"/>
                <w:i w:val="0"/>
                <w:iCs w:val="0"/>
                <w:color w:val="000000"/>
                <w:sz w:val="28"/>
                <w:szCs w:val="28"/>
                <w:highlight w:val="none"/>
                <w:u w:val="none"/>
              </w:rPr>
            </w:pPr>
            <w:r>
              <w:rPr>
                <w:rFonts w:hint="default" w:ascii="Times New Roman" w:hAnsi="Times New Roman" w:eastAsia="仿宋_GB2312" w:cs="Times New Roman"/>
                <w:i w:val="0"/>
                <w:iCs w:val="0"/>
                <w:color w:val="000000"/>
                <w:kern w:val="0"/>
                <w:sz w:val="28"/>
                <w:szCs w:val="28"/>
                <w:highlight w:val="none"/>
                <w:u w:val="none"/>
                <w:lang w:val="en-US" w:eastAsia="zh-CN" w:bidi="ar"/>
              </w:rPr>
              <w:t xml:space="preserve">       2、本表应连同《行政事业单位国有资产无偿划转明细表》一并填报。</w:t>
            </w:r>
          </w:p>
        </w:tc>
      </w:tr>
    </w:tbl>
    <w:p w14:paraId="5A70E1F7">
      <w:pPr>
        <w:keepNext w:val="0"/>
        <w:keepLines w:val="0"/>
        <w:pageBreakBefore w:val="0"/>
        <w:widowControl w:val="0"/>
        <w:kinsoku w:val="0"/>
        <w:wordWrap/>
        <w:overflowPunct w:val="0"/>
        <w:topLinePunct w:val="0"/>
        <w:autoSpaceDE w:val="0"/>
        <w:autoSpaceDN w:val="0"/>
        <w:bidi w:val="0"/>
        <w:adjustRightInd w:val="0"/>
        <w:snapToGrid w:val="0"/>
        <w:spacing w:before="128" w:line="224" w:lineRule="auto"/>
        <w:textAlignment w:val="baseline"/>
        <w:rPr>
          <w:rFonts w:hint="default" w:ascii="Times New Roman" w:hAnsi="Times New Roman" w:eastAsia="黑体" w:cs="Times New Roman"/>
          <w:b/>
          <w:bCs/>
          <w:spacing w:val="-6"/>
          <w:sz w:val="42"/>
          <w:szCs w:val="42"/>
          <w:highlight w:val="none"/>
        </w:rPr>
        <w:sectPr>
          <w:headerReference r:id="rId7" w:type="default"/>
          <w:footerReference r:id="rId8" w:type="default"/>
          <w:pgSz w:w="11906" w:h="16838"/>
          <w:pgMar w:top="283" w:right="567" w:bottom="283" w:left="567" w:header="0" w:footer="1726" w:gutter="0"/>
          <w:pgNumType w:fmt="decimal"/>
          <w:cols w:space="720" w:num="1"/>
        </w:sectPr>
      </w:pPr>
    </w:p>
    <w:tbl>
      <w:tblPr>
        <w:tblStyle w:val="6"/>
        <w:tblW w:w="15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1"/>
        <w:gridCol w:w="2394"/>
        <w:gridCol w:w="2067"/>
        <w:gridCol w:w="1322"/>
        <w:gridCol w:w="1178"/>
        <w:gridCol w:w="652"/>
        <w:gridCol w:w="760"/>
        <w:gridCol w:w="1649"/>
        <w:gridCol w:w="235"/>
        <w:gridCol w:w="1088"/>
        <w:gridCol w:w="1090"/>
        <w:gridCol w:w="1064"/>
        <w:gridCol w:w="285"/>
        <w:gridCol w:w="965"/>
      </w:tblGrid>
      <w:tr w14:paraId="54CE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640" w:type="dxa"/>
            <w:gridSpan w:val="14"/>
            <w:tcBorders>
              <w:top w:val="nil"/>
              <w:left w:val="nil"/>
              <w:bottom w:val="nil"/>
              <w:right w:val="nil"/>
            </w:tcBorders>
            <w:shd w:val="clear" w:color="auto" w:fill="auto"/>
            <w:noWrap/>
            <w:vAlign w:val="center"/>
          </w:tcPr>
          <w:p w14:paraId="47233154">
            <w:pPr>
              <w:keepNext w:val="0"/>
              <w:keepLines w:val="0"/>
              <w:pageBreakBefore w:val="0"/>
              <w:widowControl w:val="0"/>
              <w:kinsoku w:val="0"/>
              <w:wordWrap/>
              <w:overflowPunct w:val="0"/>
              <w:topLinePunct w:val="0"/>
              <w:autoSpaceDE w:val="0"/>
              <w:autoSpaceDN w:val="0"/>
              <w:bidi w:val="0"/>
              <w:adjustRightInd w:val="0"/>
              <w:snapToGrid w:val="0"/>
              <w:spacing w:before="128" w:line="224" w:lineRule="auto"/>
              <w:textAlignment w:val="baseline"/>
              <w:rPr>
                <w:rFonts w:hint="default" w:ascii="Times New Roman" w:hAnsi="Times New Roman" w:eastAsia="黑体" w:cs="Times New Roman"/>
                <w:b/>
                <w:bCs/>
                <w:spacing w:val="-6"/>
                <w:sz w:val="38"/>
                <w:szCs w:val="38"/>
                <w:highlight w:val="none"/>
                <w:lang w:val="en-US" w:eastAsia="zh-CN"/>
              </w:rPr>
            </w:pPr>
            <w:r>
              <w:rPr>
                <w:rFonts w:hint="default" w:ascii="Times New Roman" w:hAnsi="Times New Roman" w:eastAsia="黑体" w:cs="Times New Roman"/>
                <w:b/>
                <w:bCs/>
                <w:spacing w:val="-6"/>
                <w:sz w:val="38"/>
                <w:szCs w:val="38"/>
                <w:highlight w:val="none"/>
                <w:lang w:eastAsia="zh-CN"/>
              </w:rPr>
              <w:t>附件</w:t>
            </w:r>
            <w:r>
              <w:rPr>
                <w:rFonts w:hint="default" w:ascii="Times New Roman" w:hAnsi="Times New Roman" w:eastAsia="黑体" w:cs="Times New Roman"/>
                <w:b/>
                <w:bCs/>
                <w:spacing w:val="-6"/>
                <w:sz w:val="38"/>
                <w:szCs w:val="38"/>
                <w:highlight w:val="none"/>
                <w:lang w:val="en-US" w:eastAsia="zh-CN"/>
              </w:rPr>
              <w:t>5</w:t>
            </w:r>
          </w:p>
          <w:p w14:paraId="05342B8F">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36"/>
                <w:szCs w:val="36"/>
                <w:highlight w:val="none"/>
                <w:u w:val="none"/>
                <w:lang w:val="en-US" w:eastAsia="zh-CN" w:bidi="ar"/>
              </w:rPr>
            </w:pPr>
          </w:p>
          <w:p w14:paraId="214404EF">
            <w:pPr>
              <w:keepNext w:val="0"/>
              <w:keepLines w:val="0"/>
              <w:widowControl/>
              <w:suppressLineNumbers w:val="0"/>
              <w:jc w:val="center"/>
              <w:textAlignment w:val="center"/>
              <w:rPr>
                <w:rFonts w:hint="default" w:ascii="Times New Roman" w:hAnsi="Times New Roman" w:eastAsia="黑体" w:cs="Times New Roman"/>
                <w:i w:val="0"/>
                <w:iCs w:val="0"/>
                <w:color w:val="000000"/>
                <w:sz w:val="36"/>
                <w:szCs w:val="36"/>
                <w:highlight w:val="none"/>
                <w:u w:val="none"/>
              </w:rPr>
            </w:pPr>
            <w:r>
              <w:rPr>
                <w:rFonts w:hint="default" w:ascii="Times New Roman" w:hAnsi="Times New Roman" w:eastAsia="方正小标宋简体" w:cs="Times New Roman"/>
                <w:i w:val="0"/>
                <w:iCs w:val="0"/>
                <w:color w:val="000000"/>
                <w:kern w:val="0"/>
                <w:sz w:val="48"/>
                <w:szCs w:val="48"/>
                <w:highlight w:val="none"/>
                <w:u w:val="none"/>
                <w:lang w:val="en-US" w:eastAsia="zh-CN" w:bidi="ar"/>
              </w:rPr>
              <w:t>行政事业单位国有资产无偿划转明细表</w:t>
            </w:r>
          </w:p>
        </w:tc>
      </w:tr>
      <w:tr w14:paraId="4570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85" w:type="dxa"/>
            <w:gridSpan w:val="2"/>
            <w:tcBorders>
              <w:top w:val="nil"/>
              <w:left w:val="nil"/>
              <w:bottom w:val="nil"/>
              <w:right w:val="nil"/>
            </w:tcBorders>
            <w:shd w:val="clear" w:color="auto" w:fill="auto"/>
            <w:noWrap/>
            <w:vAlign w:val="center"/>
          </w:tcPr>
          <w:p w14:paraId="46014408">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编制单位：</w:t>
            </w:r>
          </w:p>
        </w:tc>
        <w:tc>
          <w:tcPr>
            <w:tcW w:w="10041" w:type="dxa"/>
            <w:gridSpan w:val="9"/>
            <w:tcBorders>
              <w:top w:val="nil"/>
              <w:left w:val="nil"/>
              <w:bottom w:val="single" w:color="000000" w:sz="4" w:space="0"/>
              <w:right w:val="nil"/>
            </w:tcBorders>
            <w:shd w:val="clear" w:color="auto" w:fill="auto"/>
            <w:noWrap/>
            <w:vAlign w:val="center"/>
          </w:tcPr>
          <w:p w14:paraId="31320E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资产无偿划转时间：   年  月  日 </w:t>
            </w:r>
          </w:p>
        </w:tc>
        <w:tc>
          <w:tcPr>
            <w:tcW w:w="1064" w:type="dxa"/>
            <w:tcBorders>
              <w:top w:val="nil"/>
              <w:left w:val="nil"/>
              <w:bottom w:val="nil"/>
              <w:right w:val="nil"/>
            </w:tcBorders>
            <w:shd w:val="clear" w:color="auto" w:fill="auto"/>
            <w:noWrap/>
            <w:vAlign w:val="center"/>
          </w:tcPr>
          <w:p w14:paraId="016121FE">
            <w:pPr>
              <w:rPr>
                <w:rFonts w:hint="default" w:ascii="Times New Roman" w:hAnsi="Times New Roman" w:eastAsia="仿宋_GB2312" w:cs="Times New Roman"/>
                <w:i w:val="0"/>
                <w:iCs w:val="0"/>
                <w:color w:val="000000"/>
                <w:sz w:val="24"/>
                <w:szCs w:val="24"/>
                <w:highlight w:val="none"/>
                <w:u w:val="none"/>
              </w:rPr>
            </w:pPr>
          </w:p>
        </w:tc>
        <w:tc>
          <w:tcPr>
            <w:tcW w:w="1250" w:type="dxa"/>
            <w:gridSpan w:val="2"/>
            <w:tcBorders>
              <w:top w:val="nil"/>
              <w:left w:val="nil"/>
              <w:bottom w:val="nil"/>
              <w:right w:val="nil"/>
            </w:tcBorders>
            <w:shd w:val="clear" w:color="auto" w:fill="auto"/>
            <w:noWrap/>
            <w:vAlign w:val="center"/>
          </w:tcPr>
          <w:p w14:paraId="7B3502F5">
            <w:pPr>
              <w:keepNext w:val="0"/>
              <w:keepLines w:val="0"/>
              <w:widowControl/>
              <w:suppressLineNumbers w:val="0"/>
              <w:jc w:val="righ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单位：元</w:t>
            </w:r>
          </w:p>
        </w:tc>
      </w:tr>
      <w:tr w14:paraId="22AE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4C3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序号</w:t>
            </w:r>
          </w:p>
        </w:tc>
        <w:tc>
          <w:tcPr>
            <w:tcW w:w="2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A78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调出资产名称</w:t>
            </w:r>
          </w:p>
        </w:tc>
        <w:tc>
          <w:tcPr>
            <w:tcW w:w="2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A55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资产编号</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9FC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型号规格</w:t>
            </w:r>
          </w:p>
        </w:tc>
        <w:tc>
          <w:tcPr>
            <w:tcW w:w="11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028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计量单位</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3CA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数量</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182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购入建造日期</w:t>
            </w:r>
          </w:p>
        </w:tc>
        <w:tc>
          <w:tcPr>
            <w:tcW w:w="54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84AF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价值</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EC6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备  注</w:t>
            </w:r>
          </w:p>
        </w:tc>
      </w:tr>
      <w:tr w14:paraId="240FE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211A">
            <w:pPr>
              <w:jc w:val="center"/>
              <w:rPr>
                <w:rFonts w:hint="default" w:ascii="Times New Roman" w:hAnsi="Times New Roman" w:eastAsia="仿宋_GB2312" w:cs="Times New Roman"/>
                <w:i w:val="0"/>
                <w:iCs w:val="0"/>
                <w:color w:val="000000"/>
                <w:sz w:val="24"/>
                <w:szCs w:val="24"/>
                <w:highlight w:val="none"/>
                <w:u w:val="none"/>
              </w:rPr>
            </w:pPr>
          </w:p>
        </w:tc>
        <w:tc>
          <w:tcPr>
            <w:tcW w:w="2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A2534">
            <w:pPr>
              <w:jc w:val="center"/>
              <w:rPr>
                <w:rFonts w:hint="default" w:ascii="Times New Roman" w:hAnsi="Times New Roman" w:eastAsia="仿宋_GB2312" w:cs="Times New Roman"/>
                <w:i w:val="0"/>
                <w:iCs w:val="0"/>
                <w:color w:val="000000"/>
                <w:sz w:val="24"/>
                <w:szCs w:val="24"/>
                <w:highlight w:val="none"/>
                <w:u w:val="none"/>
              </w:rPr>
            </w:pPr>
          </w:p>
        </w:tc>
        <w:tc>
          <w:tcPr>
            <w:tcW w:w="2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48970">
            <w:pPr>
              <w:jc w:val="center"/>
              <w:rPr>
                <w:rFonts w:hint="default" w:ascii="Times New Roman" w:hAnsi="Times New Roman" w:eastAsia="仿宋_GB2312" w:cs="Times New Roman"/>
                <w:i w:val="0"/>
                <w:iCs w:val="0"/>
                <w:color w:val="000000"/>
                <w:sz w:val="24"/>
                <w:szCs w:val="24"/>
                <w:highlight w:val="none"/>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94827">
            <w:pPr>
              <w:jc w:val="center"/>
              <w:rPr>
                <w:rFonts w:hint="default" w:ascii="Times New Roman" w:hAnsi="Times New Roman" w:eastAsia="仿宋_GB2312" w:cs="Times New Roman"/>
                <w:i w:val="0"/>
                <w:iCs w:val="0"/>
                <w:color w:val="000000"/>
                <w:sz w:val="24"/>
                <w:szCs w:val="24"/>
                <w:highlight w:val="none"/>
                <w:u w:val="none"/>
              </w:rPr>
            </w:pPr>
          </w:p>
        </w:tc>
        <w:tc>
          <w:tcPr>
            <w:tcW w:w="11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B69A8">
            <w:pPr>
              <w:jc w:val="center"/>
              <w:rPr>
                <w:rFonts w:hint="default" w:ascii="Times New Roman" w:hAnsi="Times New Roman" w:eastAsia="仿宋_GB2312" w:cs="Times New Roman"/>
                <w:i w:val="0"/>
                <w:iCs w:val="0"/>
                <w:color w:val="000000"/>
                <w:sz w:val="24"/>
                <w:szCs w:val="24"/>
                <w:highlight w:val="none"/>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12830">
            <w:pPr>
              <w:jc w:val="center"/>
              <w:rPr>
                <w:rFonts w:hint="default" w:ascii="Times New Roman" w:hAnsi="Times New Roman" w:eastAsia="仿宋_GB2312" w:cs="Times New Roman"/>
                <w:i w:val="0"/>
                <w:iCs w:val="0"/>
                <w:color w:val="000000"/>
                <w:sz w:val="24"/>
                <w:szCs w:val="24"/>
                <w:highlight w:val="none"/>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B79D2">
            <w:pPr>
              <w:jc w:val="center"/>
              <w:rPr>
                <w:rFonts w:hint="default" w:ascii="Times New Roman" w:hAnsi="Times New Roman" w:eastAsia="仿宋_GB2312" w:cs="Times New Roman"/>
                <w:i w:val="0"/>
                <w:iCs w:val="0"/>
                <w:color w:val="000000"/>
                <w:sz w:val="24"/>
                <w:szCs w:val="24"/>
                <w:highlight w:val="none"/>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1C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账面原值</w:t>
            </w: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BBD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已提折旧</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07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账面净值</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001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评估价值</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B11FF">
            <w:pPr>
              <w:jc w:val="center"/>
              <w:rPr>
                <w:rFonts w:hint="default" w:ascii="Times New Roman" w:hAnsi="Times New Roman" w:eastAsia="仿宋_GB2312" w:cs="Times New Roman"/>
                <w:i w:val="0"/>
                <w:iCs w:val="0"/>
                <w:color w:val="000000"/>
                <w:sz w:val="24"/>
                <w:szCs w:val="24"/>
                <w:highlight w:val="none"/>
                <w:u w:val="none"/>
              </w:rPr>
            </w:pPr>
          </w:p>
        </w:tc>
      </w:tr>
      <w:tr w14:paraId="58C8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12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1</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7387">
            <w:pPr>
              <w:jc w:val="center"/>
              <w:rPr>
                <w:rFonts w:hint="default" w:ascii="Times New Roman" w:hAnsi="Times New Roman" w:eastAsia="仿宋_GB2312" w:cs="Times New Roman"/>
                <w:i w:val="0"/>
                <w:iCs w:val="0"/>
                <w:color w:val="000000"/>
                <w:sz w:val="24"/>
                <w:szCs w:val="24"/>
                <w:highlight w:val="none"/>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79DF">
            <w:pPr>
              <w:jc w:val="center"/>
              <w:rPr>
                <w:rFonts w:hint="default" w:ascii="Times New Roman" w:hAnsi="Times New Roman" w:eastAsia="仿宋_GB2312" w:cs="Times New Roman"/>
                <w:i w:val="0"/>
                <w:iCs w:val="0"/>
                <w:color w:val="000000"/>
                <w:sz w:val="24"/>
                <w:szCs w:val="24"/>
                <w:highlight w:val="none"/>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60E5">
            <w:pPr>
              <w:jc w:val="center"/>
              <w:rPr>
                <w:rFonts w:hint="default" w:ascii="Times New Roman" w:hAnsi="Times New Roman" w:eastAsia="仿宋_GB2312" w:cs="Times New Roman"/>
                <w:i w:val="0"/>
                <w:iCs w:val="0"/>
                <w:color w:val="000000"/>
                <w:sz w:val="24"/>
                <w:szCs w:val="24"/>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C116">
            <w:pPr>
              <w:jc w:val="center"/>
              <w:rPr>
                <w:rFonts w:hint="default" w:ascii="Times New Roman" w:hAnsi="Times New Roman" w:eastAsia="仿宋_GB2312" w:cs="Times New Roman"/>
                <w:i w:val="0"/>
                <w:iCs w:val="0"/>
                <w:color w:val="000000"/>
                <w:sz w:val="24"/>
                <w:szCs w:val="24"/>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57CA">
            <w:pPr>
              <w:jc w:val="center"/>
              <w:rPr>
                <w:rFonts w:hint="default" w:ascii="Times New Roman" w:hAnsi="Times New Roman" w:eastAsia="仿宋_GB2312" w:cs="Times New Roman"/>
                <w:i w:val="0"/>
                <w:iCs w:val="0"/>
                <w:color w:val="000000"/>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2E99">
            <w:pPr>
              <w:jc w:val="center"/>
              <w:rPr>
                <w:rFonts w:hint="default" w:ascii="Times New Roman" w:hAnsi="Times New Roman" w:eastAsia="仿宋_GB2312" w:cs="Times New Roman"/>
                <w:i w:val="0"/>
                <w:iCs w:val="0"/>
                <w:color w:val="000000"/>
                <w:sz w:val="24"/>
                <w:szCs w:val="24"/>
                <w:highlight w:val="none"/>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A214">
            <w:pPr>
              <w:jc w:val="center"/>
              <w:rPr>
                <w:rFonts w:hint="default" w:ascii="Times New Roman" w:hAnsi="Times New Roman" w:eastAsia="仿宋_GB2312" w:cs="Times New Roman"/>
                <w:i w:val="0"/>
                <w:iCs w:val="0"/>
                <w:color w:val="000000"/>
                <w:sz w:val="24"/>
                <w:szCs w:val="24"/>
                <w:highlight w:val="none"/>
                <w:u w:val="none"/>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3A75">
            <w:pPr>
              <w:jc w:val="center"/>
              <w:rPr>
                <w:rFonts w:hint="default" w:ascii="Times New Roman" w:hAnsi="Times New Roman" w:eastAsia="仿宋_GB2312" w:cs="Times New Roman"/>
                <w:i w:val="0"/>
                <w:iCs w:val="0"/>
                <w:color w:val="000000"/>
                <w:sz w:val="24"/>
                <w:szCs w:val="24"/>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D774">
            <w:pPr>
              <w:jc w:val="center"/>
              <w:rPr>
                <w:rFonts w:hint="default" w:ascii="Times New Roman" w:hAnsi="Times New Roman" w:eastAsia="仿宋_GB2312" w:cs="Times New Roman"/>
                <w:i w:val="0"/>
                <w:iCs w:val="0"/>
                <w:color w:val="000000"/>
                <w:sz w:val="24"/>
                <w:szCs w:val="24"/>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B16D">
            <w:pPr>
              <w:jc w:val="center"/>
              <w:rPr>
                <w:rFonts w:hint="default" w:ascii="Times New Roman" w:hAnsi="Times New Roman" w:eastAsia="仿宋_GB2312" w:cs="Times New Roman"/>
                <w:i w:val="0"/>
                <w:iCs w:val="0"/>
                <w:color w:val="000000"/>
                <w:sz w:val="24"/>
                <w:szCs w:val="24"/>
                <w:highlight w:val="none"/>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A4B6">
            <w:pPr>
              <w:jc w:val="center"/>
              <w:rPr>
                <w:rFonts w:hint="default" w:ascii="Times New Roman" w:hAnsi="Times New Roman" w:eastAsia="仿宋_GB2312" w:cs="Times New Roman"/>
                <w:i w:val="0"/>
                <w:iCs w:val="0"/>
                <w:color w:val="000000"/>
                <w:sz w:val="24"/>
                <w:szCs w:val="24"/>
                <w:highlight w:val="none"/>
                <w:u w:val="none"/>
              </w:rPr>
            </w:pPr>
          </w:p>
        </w:tc>
      </w:tr>
      <w:tr w14:paraId="52B5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1D5C">
            <w:pPr>
              <w:rPr>
                <w:rFonts w:hint="default" w:ascii="Times New Roman" w:hAnsi="Times New Roman" w:eastAsia="仿宋_GB2312" w:cs="Times New Roman"/>
                <w:i w:val="0"/>
                <w:iCs w:val="0"/>
                <w:color w:val="000000"/>
                <w:sz w:val="24"/>
                <w:szCs w:val="24"/>
                <w:highlight w:val="none"/>
                <w:u w:val="none"/>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4455">
            <w:pPr>
              <w:rPr>
                <w:rFonts w:hint="default" w:ascii="Times New Roman" w:hAnsi="Times New Roman" w:eastAsia="仿宋_GB2312" w:cs="Times New Roman"/>
                <w:i w:val="0"/>
                <w:iCs w:val="0"/>
                <w:color w:val="000000"/>
                <w:sz w:val="24"/>
                <w:szCs w:val="24"/>
                <w:highlight w:val="none"/>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B056">
            <w:pPr>
              <w:rPr>
                <w:rFonts w:hint="default" w:ascii="Times New Roman" w:hAnsi="Times New Roman" w:eastAsia="仿宋_GB2312" w:cs="Times New Roman"/>
                <w:i w:val="0"/>
                <w:iCs w:val="0"/>
                <w:color w:val="000000"/>
                <w:sz w:val="24"/>
                <w:szCs w:val="24"/>
                <w:highlight w:val="none"/>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4073">
            <w:pPr>
              <w:rPr>
                <w:rFonts w:hint="default" w:ascii="Times New Roman" w:hAnsi="Times New Roman" w:eastAsia="仿宋_GB2312" w:cs="Times New Roman"/>
                <w:i w:val="0"/>
                <w:iCs w:val="0"/>
                <w:color w:val="000000"/>
                <w:sz w:val="24"/>
                <w:szCs w:val="24"/>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D5C3">
            <w:pPr>
              <w:rPr>
                <w:rFonts w:hint="default" w:ascii="Times New Roman" w:hAnsi="Times New Roman" w:eastAsia="仿宋_GB2312" w:cs="Times New Roman"/>
                <w:i w:val="0"/>
                <w:iCs w:val="0"/>
                <w:color w:val="000000"/>
                <w:sz w:val="24"/>
                <w:szCs w:val="24"/>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78D0">
            <w:pPr>
              <w:rPr>
                <w:rFonts w:hint="default" w:ascii="Times New Roman" w:hAnsi="Times New Roman" w:eastAsia="仿宋_GB2312" w:cs="Times New Roman"/>
                <w:i w:val="0"/>
                <w:iCs w:val="0"/>
                <w:color w:val="000000"/>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E605">
            <w:pPr>
              <w:rPr>
                <w:rFonts w:hint="default" w:ascii="Times New Roman" w:hAnsi="Times New Roman" w:eastAsia="仿宋_GB2312" w:cs="Times New Roman"/>
                <w:i w:val="0"/>
                <w:iCs w:val="0"/>
                <w:color w:val="000000"/>
                <w:sz w:val="24"/>
                <w:szCs w:val="24"/>
                <w:highlight w:val="none"/>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9025">
            <w:pPr>
              <w:rPr>
                <w:rFonts w:hint="default" w:ascii="Times New Roman" w:hAnsi="Times New Roman" w:eastAsia="仿宋_GB2312" w:cs="Times New Roman"/>
                <w:i w:val="0"/>
                <w:iCs w:val="0"/>
                <w:color w:val="000000"/>
                <w:sz w:val="24"/>
                <w:szCs w:val="24"/>
                <w:highlight w:val="none"/>
                <w:u w:val="none"/>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FB66">
            <w:pPr>
              <w:rPr>
                <w:rFonts w:hint="default" w:ascii="Times New Roman" w:hAnsi="Times New Roman" w:eastAsia="仿宋_GB2312" w:cs="Times New Roman"/>
                <w:i w:val="0"/>
                <w:iCs w:val="0"/>
                <w:color w:val="000000"/>
                <w:sz w:val="24"/>
                <w:szCs w:val="24"/>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568B">
            <w:pPr>
              <w:rPr>
                <w:rFonts w:hint="default" w:ascii="Times New Roman" w:hAnsi="Times New Roman" w:eastAsia="仿宋_GB2312" w:cs="Times New Roman"/>
                <w:i w:val="0"/>
                <w:iCs w:val="0"/>
                <w:color w:val="000000"/>
                <w:sz w:val="24"/>
                <w:szCs w:val="24"/>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2F55">
            <w:pPr>
              <w:rPr>
                <w:rFonts w:hint="default" w:ascii="Times New Roman" w:hAnsi="Times New Roman" w:eastAsia="仿宋_GB2312" w:cs="Times New Roman"/>
                <w:i w:val="0"/>
                <w:iCs w:val="0"/>
                <w:color w:val="000000"/>
                <w:sz w:val="24"/>
                <w:szCs w:val="24"/>
                <w:highlight w:val="none"/>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5979">
            <w:pPr>
              <w:rPr>
                <w:rFonts w:hint="default" w:ascii="Times New Roman" w:hAnsi="Times New Roman" w:eastAsia="仿宋_GB2312" w:cs="Times New Roman"/>
                <w:i w:val="0"/>
                <w:iCs w:val="0"/>
                <w:color w:val="000000"/>
                <w:sz w:val="24"/>
                <w:szCs w:val="24"/>
                <w:highlight w:val="none"/>
                <w:u w:val="none"/>
              </w:rPr>
            </w:pPr>
          </w:p>
        </w:tc>
      </w:tr>
      <w:tr w14:paraId="3076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3B39">
            <w:pPr>
              <w:rPr>
                <w:rFonts w:hint="default" w:ascii="Times New Roman" w:hAnsi="Times New Roman" w:eastAsia="仿宋_GB2312" w:cs="Times New Roman"/>
                <w:i w:val="0"/>
                <w:iCs w:val="0"/>
                <w:color w:val="000000"/>
                <w:sz w:val="24"/>
                <w:szCs w:val="24"/>
                <w:highlight w:val="none"/>
                <w:u w:val="none"/>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57FB">
            <w:pPr>
              <w:rPr>
                <w:rFonts w:hint="default" w:ascii="Times New Roman" w:hAnsi="Times New Roman" w:eastAsia="仿宋_GB2312" w:cs="Times New Roman"/>
                <w:i w:val="0"/>
                <w:iCs w:val="0"/>
                <w:color w:val="000000"/>
                <w:sz w:val="24"/>
                <w:szCs w:val="24"/>
                <w:highlight w:val="none"/>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F7AF">
            <w:pPr>
              <w:rPr>
                <w:rFonts w:hint="default" w:ascii="Times New Roman" w:hAnsi="Times New Roman" w:eastAsia="仿宋_GB2312" w:cs="Times New Roman"/>
                <w:i w:val="0"/>
                <w:iCs w:val="0"/>
                <w:color w:val="000000"/>
                <w:sz w:val="24"/>
                <w:szCs w:val="24"/>
                <w:highlight w:val="none"/>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4EBA">
            <w:pPr>
              <w:rPr>
                <w:rFonts w:hint="default" w:ascii="Times New Roman" w:hAnsi="Times New Roman" w:eastAsia="仿宋_GB2312" w:cs="Times New Roman"/>
                <w:i w:val="0"/>
                <w:iCs w:val="0"/>
                <w:color w:val="000000"/>
                <w:sz w:val="24"/>
                <w:szCs w:val="24"/>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6300">
            <w:pPr>
              <w:rPr>
                <w:rFonts w:hint="default" w:ascii="Times New Roman" w:hAnsi="Times New Roman" w:eastAsia="仿宋_GB2312" w:cs="Times New Roman"/>
                <w:i w:val="0"/>
                <w:iCs w:val="0"/>
                <w:color w:val="000000"/>
                <w:sz w:val="24"/>
                <w:szCs w:val="24"/>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F86B">
            <w:pPr>
              <w:rPr>
                <w:rFonts w:hint="default" w:ascii="Times New Roman" w:hAnsi="Times New Roman" w:eastAsia="仿宋_GB2312" w:cs="Times New Roman"/>
                <w:i w:val="0"/>
                <w:iCs w:val="0"/>
                <w:color w:val="000000"/>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8AFC">
            <w:pPr>
              <w:rPr>
                <w:rFonts w:hint="default" w:ascii="Times New Roman" w:hAnsi="Times New Roman" w:eastAsia="仿宋_GB2312" w:cs="Times New Roman"/>
                <w:i w:val="0"/>
                <w:iCs w:val="0"/>
                <w:color w:val="000000"/>
                <w:sz w:val="24"/>
                <w:szCs w:val="24"/>
                <w:highlight w:val="none"/>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49CB">
            <w:pPr>
              <w:rPr>
                <w:rFonts w:hint="default" w:ascii="Times New Roman" w:hAnsi="Times New Roman" w:eastAsia="仿宋_GB2312" w:cs="Times New Roman"/>
                <w:i w:val="0"/>
                <w:iCs w:val="0"/>
                <w:color w:val="000000"/>
                <w:sz w:val="24"/>
                <w:szCs w:val="24"/>
                <w:highlight w:val="none"/>
                <w:u w:val="none"/>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9B26">
            <w:pPr>
              <w:rPr>
                <w:rFonts w:hint="default" w:ascii="Times New Roman" w:hAnsi="Times New Roman" w:eastAsia="仿宋_GB2312" w:cs="Times New Roman"/>
                <w:i w:val="0"/>
                <w:iCs w:val="0"/>
                <w:color w:val="000000"/>
                <w:sz w:val="24"/>
                <w:szCs w:val="24"/>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01E5">
            <w:pPr>
              <w:rPr>
                <w:rFonts w:hint="default" w:ascii="Times New Roman" w:hAnsi="Times New Roman" w:eastAsia="仿宋_GB2312" w:cs="Times New Roman"/>
                <w:i w:val="0"/>
                <w:iCs w:val="0"/>
                <w:color w:val="000000"/>
                <w:sz w:val="24"/>
                <w:szCs w:val="24"/>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4FD6">
            <w:pPr>
              <w:rPr>
                <w:rFonts w:hint="default" w:ascii="Times New Roman" w:hAnsi="Times New Roman" w:eastAsia="仿宋_GB2312" w:cs="Times New Roman"/>
                <w:i w:val="0"/>
                <w:iCs w:val="0"/>
                <w:color w:val="000000"/>
                <w:sz w:val="24"/>
                <w:szCs w:val="24"/>
                <w:highlight w:val="none"/>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E79A">
            <w:pPr>
              <w:rPr>
                <w:rFonts w:hint="default" w:ascii="Times New Roman" w:hAnsi="Times New Roman" w:eastAsia="仿宋_GB2312" w:cs="Times New Roman"/>
                <w:i w:val="0"/>
                <w:iCs w:val="0"/>
                <w:color w:val="000000"/>
                <w:sz w:val="24"/>
                <w:szCs w:val="24"/>
                <w:highlight w:val="none"/>
                <w:u w:val="none"/>
              </w:rPr>
            </w:pPr>
          </w:p>
        </w:tc>
      </w:tr>
      <w:tr w14:paraId="5200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2927">
            <w:pPr>
              <w:rPr>
                <w:rFonts w:hint="default" w:ascii="Times New Roman" w:hAnsi="Times New Roman" w:eastAsia="仿宋_GB2312" w:cs="Times New Roman"/>
                <w:i w:val="0"/>
                <w:iCs w:val="0"/>
                <w:color w:val="000000"/>
                <w:sz w:val="24"/>
                <w:szCs w:val="24"/>
                <w:highlight w:val="none"/>
                <w:u w:val="none"/>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12A2">
            <w:pPr>
              <w:rPr>
                <w:rFonts w:hint="default" w:ascii="Times New Roman" w:hAnsi="Times New Roman" w:eastAsia="仿宋_GB2312" w:cs="Times New Roman"/>
                <w:i w:val="0"/>
                <w:iCs w:val="0"/>
                <w:color w:val="000000"/>
                <w:sz w:val="24"/>
                <w:szCs w:val="24"/>
                <w:highlight w:val="none"/>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5A9D">
            <w:pPr>
              <w:rPr>
                <w:rFonts w:hint="default" w:ascii="Times New Roman" w:hAnsi="Times New Roman" w:eastAsia="仿宋_GB2312" w:cs="Times New Roman"/>
                <w:i w:val="0"/>
                <w:iCs w:val="0"/>
                <w:color w:val="000000"/>
                <w:sz w:val="24"/>
                <w:szCs w:val="24"/>
                <w:highlight w:val="none"/>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4080">
            <w:pPr>
              <w:rPr>
                <w:rFonts w:hint="default" w:ascii="Times New Roman" w:hAnsi="Times New Roman" w:eastAsia="仿宋_GB2312" w:cs="Times New Roman"/>
                <w:i w:val="0"/>
                <w:iCs w:val="0"/>
                <w:color w:val="000000"/>
                <w:sz w:val="24"/>
                <w:szCs w:val="24"/>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78AD">
            <w:pPr>
              <w:rPr>
                <w:rFonts w:hint="default" w:ascii="Times New Roman" w:hAnsi="Times New Roman" w:eastAsia="仿宋_GB2312" w:cs="Times New Roman"/>
                <w:i w:val="0"/>
                <w:iCs w:val="0"/>
                <w:color w:val="000000"/>
                <w:sz w:val="24"/>
                <w:szCs w:val="24"/>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F4EE">
            <w:pPr>
              <w:rPr>
                <w:rFonts w:hint="default" w:ascii="Times New Roman" w:hAnsi="Times New Roman" w:eastAsia="仿宋_GB2312" w:cs="Times New Roman"/>
                <w:i w:val="0"/>
                <w:iCs w:val="0"/>
                <w:color w:val="000000"/>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756E">
            <w:pPr>
              <w:rPr>
                <w:rFonts w:hint="default" w:ascii="Times New Roman" w:hAnsi="Times New Roman" w:eastAsia="仿宋_GB2312" w:cs="Times New Roman"/>
                <w:i w:val="0"/>
                <w:iCs w:val="0"/>
                <w:color w:val="000000"/>
                <w:sz w:val="24"/>
                <w:szCs w:val="24"/>
                <w:highlight w:val="none"/>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2306">
            <w:pPr>
              <w:rPr>
                <w:rFonts w:hint="default" w:ascii="Times New Roman" w:hAnsi="Times New Roman" w:eastAsia="仿宋_GB2312" w:cs="Times New Roman"/>
                <w:i w:val="0"/>
                <w:iCs w:val="0"/>
                <w:color w:val="000000"/>
                <w:sz w:val="24"/>
                <w:szCs w:val="24"/>
                <w:highlight w:val="none"/>
                <w:u w:val="none"/>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DD85">
            <w:pPr>
              <w:rPr>
                <w:rFonts w:hint="default" w:ascii="Times New Roman" w:hAnsi="Times New Roman" w:eastAsia="仿宋_GB2312" w:cs="Times New Roman"/>
                <w:i w:val="0"/>
                <w:iCs w:val="0"/>
                <w:color w:val="000000"/>
                <w:sz w:val="24"/>
                <w:szCs w:val="24"/>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8718">
            <w:pPr>
              <w:rPr>
                <w:rFonts w:hint="default" w:ascii="Times New Roman" w:hAnsi="Times New Roman" w:eastAsia="仿宋_GB2312" w:cs="Times New Roman"/>
                <w:i w:val="0"/>
                <w:iCs w:val="0"/>
                <w:color w:val="000000"/>
                <w:sz w:val="24"/>
                <w:szCs w:val="24"/>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8BFE">
            <w:pPr>
              <w:rPr>
                <w:rFonts w:hint="default" w:ascii="Times New Roman" w:hAnsi="Times New Roman" w:eastAsia="仿宋_GB2312" w:cs="Times New Roman"/>
                <w:i w:val="0"/>
                <w:iCs w:val="0"/>
                <w:color w:val="000000"/>
                <w:sz w:val="24"/>
                <w:szCs w:val="24"/>
                <w:highlight w:val="none"/>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59E0">
            <w:pPr>
              <w:rPr>
                <w:rFonts w:hint="default" w:ascii="Times New Roman" w:hAnsi="Times New Roman" w:eastAsia="仿宋_GB2312" w:cs="Times New Roman"/>
                <w:i w:val="0"/>
                <w:iCs w:val="0"/>
                <w:color w:val="000000"/>
                <w:sz w:val="24"/>
                <w:szCs w:val="24"/>
                <w:highlight w:val="none"/>
                <w:u w:val="none"/>
              </w:rPr>
            </w:pPr>
          </w:p>
        </w:tc>
      </w:tr>
      <w:tr w14:paraId="7C19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50E5">
            <w:pPr>
              <w:rPr>
                <w:rFonts w:hint="default" w:ascii="Times New Roman" w:hAnsi="Times New Roman" w:eastAsia="仿宋_GB2312" w:cs="Times New Roman"/>
                <w:i w:val="0"/>
                <w:iCs w:val="0"/>
                <w:color w:val="000000"/>
                <w:sz w:val="24"/>
                <w:szCs w:val="24"/>
                <w:highlight w:val="none"/>
                <w:u w:val="none"/>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49AC">
            <w:pPr>
              <w:rPr>
                <w:rFonts w:hint="default" w:ascii="Times New Roman" w:hAnsi="Times New Roman" w:eastAsia="仿宋_GB2312" w:cs="Times New Roman"/>
                <w:i w:val="0"/>
                <w:iCs w:val="0"/>
                <w:color w:val="000000"/>
                <w:sz w:val="24"/>
                <w:szCs w:val="24"/>
                <w:highlight w:val="none"/>
                <w:u w:val="none"/>
              </w:rPr>
            </w:pPr>
          </w:p>
        </w:tc>
        <w:tc>
          <w:tcPr>
            <w:tcW w:w="2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9A2A">
            <w:pPr>
              <w:rPr>
                <w:rFonts w:hint="default" w:ascii="Times New Roman" w:hAnsi="Times New Roman" w:eastAsia="仿宋_GB2312" w:cs="Times New Roman"/>
                <w:i w:val="0"/>
                <w:iCs w:val="0"/>
                <w:color w:val="000000"/>
                <w:sz w:val="24"/>
                <w:szCs w:val="24"/>
                <w:highlight w:val="none"/>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F9AB">
            <w:pPr>
              <w:rPr>
                <w:rFonts w:hint="default" w:ascii="Times New Roman" w:hAnsi="Times New Roman" w:eastAsia="仿宋_GB2312" w:cs="Times New Roman"/>
                <w:i w:val="0"/>
                <w:iCs w:val="0"/>
                <w:color w:val="000000"/>
                <w:sz w:val="24"/>
                <w:szCs w:val="24"/>
                <w:highlight w:val="none"/>
                <w:u w:val="none"/>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112A">
            <w:pPr>
              <w:rPr>
                <w:rFonts w:hint="default" w:ascii="Times New Roman" w:hAnsi="Times New Roman" w:eastAsia="仿宋_GB2312" w:cs="Times New Roman"/>
                <w:i w:val="0"/>
                <w:iCs w:val="0"/>
                <w:color w:val="000000"/>
                <w:sz w:val="24"/>
                <w:szCs w:val="24"/>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CF91">
            <w:pPr>
              <w:rPr>
                <w:rFonts w:hint="default" w:ascii="Times New Roman" w:hAnsi="Times New Roman" w:eastAsia="仿宋_GB2312" w:cs="Times New Roman"/>
                <w:i w:val="0"/>
                <w:iCs w:val="0"/>
                <w:color w:val="000000"/>
                <w:sz w:val="24"/>
                <w:szCs w:val="24"/>
                <w:highlight w:val="none"/>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C529">
            <w:pPr>
              <w:rPr>
                <w:rFonts w:hint="default" w:ascii="Times New Roman" w:hAnsi="Times New Roman" w:eastAsia="仿宋_GB2312" w:cs="Times New Roman"/>
                <w:i w:val="0"/>
                <w:iCs w:val="0"/>
                <w:color w:val="000000"/>
                <w:sz w:val="24"/>
                <w:szCs w:val="24"/>
                <w:highlight w:val="none"/>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BBEA">
            <w:pPr>
              <w:rPr>
                <w:rFonts w:hint="default" w:ascii="Times New Roman" w:hAnsi="Times New Roman" w:eastAsia="仿宋_GB2312" w:cs="Times New Roman"/>
                <w:i w:val="0"/>
                <w:iCs w:val="0"/>
                <w:color w:val="000000"/>
                <w:sz w:val="24"/>
                <w:szCs w:val="24"/>
                <w:highlight w:val="none"/>
                <w:u w:val="none"/>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5070">
            <w:pPr>
              <w:rPr>
                <w:rFonts w:hint="default" w:ascii="Times New Roman" w:hAnsi="Times New Roman" w:eastAsia="仿宋_GB2312" w:cs="Times New Roman"/>
                <w:i w:val="0"/>
                <w:iCs w:val="0"/>
                <w:color w:val="000000"/>
                <w:sz w:val="24"/>
                <w:szCs w:val="24"/>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695C2">
            <w:pPr>
              <w:rPr>
                <w:rFonts w:hint="default" w:ascii="Times New Roman" w:hAnsi="Times New Roman" w:eastAsia="仿宋_GB2312" w:cs="Times New Roman"/>
                <w:i w:val="0"/>
                <w:iCs w:val="0"/>
                <w:color w:val="000000"/>
                <w:sz w:val="24"/>
                <w:szCs w:val="24"/>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BF2B">
            <w:pPr>
              <w:rPr>
                <w:rFonts w:hint="default" w:ascii="Times New Roman" w:hAnsi="Times New Roman" w:eastAsia="仿宋_GB2312" w:cs="Times New Roman"/>
                <w:i w:val="0"/>
                <w:iCs w:val="0"/>
                <w:color w:val="000000"/>
                <w:sz w:val="24"/>
                <w:szCs w:val="24"/>
                <w:highlight w:val="none"/>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2B7D">
            <w:pPr>
              <w:rPr>
                <w:rFonts w:hint="default" w:ascii="Times New Roman" w:hAnsi="Times New Roman" w:eastAsia="仿宋_GB2312" w:cs="Times New Roman"/>
                <w:i w:val="0"/>
                <w:iCs w:val="0"/>
                <w:color w:val="000000"/>
                <w:sz w:val="24"/>
                <w:szCs w:val="24"/>
                <w:highlight w:val="none"/>
                <w:u w:val="none"/>
              </w:rPr>
            </w:pPr>
          </w:p>
        </w:tc>
      </w:tr>
      <w:tr w14:paraId="524D9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7FC8686">
            <w:pPr>
              <w:rPr>
                <w:rFonts w:hint="default" w:ascii="Times New Roman" w:hAnsi="Times New Roman" w:eastAsia="仿宋_GB2312" w:cs="Times New Roman"/>
                <w:i w:val="0"/>
                <w:iCs w:val="0"/>
                <w:color w:val="000000"/>
                <w:sz w:val="24"/>
                <w:szCs w:val="24"/>
                <w:highlight w:val="none"/>
                <w:u w:val="none"/>
              </w:rPr>
            </w:pPr>
          </w:p>
        </w:tc>
        <w:tc>
          <w:tcPr>
            <w:tcW w:w="239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97A2547">
            <w:pPr>
              <w:rPr>
                <w:rFonts w:hint="default" w:ascii="Times New Roman" w:hAnsi="Times New Roman" w:eastAsia="仿宋_GB2312" w:cs="Times New Roman"/>
                <w:i w:val="0"/>
                <w:iCs w:val="0"/>
                <w:color w:val="000000"/>
                <w:sz w:val="24"/>
                <w:szCs w:val="24"/>
                <w:highlight w:val="none"/>
                <w:u w:val="none"/>
              </w:rPr>
            </w:pPr>
          </w:p>
        </w:tc>
        <w:tc>
          <w:tcPr>
            <w:tcW w:w="20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B7273B6">
            <w:pPr>
              <w:rPr>
                <w:rFonts w:hint="default" w:ascii="Times New Roman" w:hAnsi="Times New Roman" w:eastAsia="仿宋_GB2312" w:cs="Times New Roman"/>
                <w:i w:val="0"/>
                <w:iCs w:val="0"/>
                <w:color w:val="000000"/>
                <w:sz w:val="24"/>
                <w:szCs w:val="24"/>
                <w:highlight w:val="none"/>
                <w:u w:val="none"/>
              </w:rPr>
            </w:pPr>
          </w:p>
        </w:tc>
        <w:tc>
          <w:tcPr>
            <w:tcW w:w="132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93B8D86">
            <w:pPr>
              <w:rPr>
                <w:rFonts w:hint="default" w:ascii="Times New Roman" w:hAnsi="Times New Roman" w:eastAsia="仿宋_GB2312" w:cs="Times New Roman"/>
                <w:i w:val="0"/>
                <w:iCs w:val="0"/>
                <w:color w:val="000000"/>
                <w:sz w:val="24"/>
                <w:szCs w:val="24"/>
                <w:highlight w:val="none"/>
                <w:u w:val="none"/>
              </w:rPr>
            </w:pPr>
          </w:p>
        </w:tc>
        <w:tc>
          <w:tcPr>
            <w:tcW w:w="117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5FEA1D">
            <w:pPr>
              <w:rPr>
                <w:rFonts w:hint="default" w:ascii="Times New Roman" w:hAnsi="Times New Roman" w:eastAsia="仿宋_GB2312" w:cs="Times New Roman"/>
                <w:i w:val="0"/>
                <w:iCs w:val="0"/>
                <w:color w:val="000000"/>
                <w:sz w:val="24"/>
                <w:szCs w:val="24"/>
                <w:highlight w:val="none"/>
                <w:u w:val="none"/>
              </w:rPr>
            </w:pPr>
          </w:p>
        </w:tc>
        <w:tc>
          <w:tcPr>
            <w:tcW w:w="65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E8CBD3">
            <w:pPr>
              <w:rPr>
                <w:rFonts w:hint="default" w:ascii="Times New Roman" w:hAnsi="Times New Roman" w:eastAsia="仿宋_GB2312" w:cs="Times New Roman"/>
                <w:i w:val="0"/>
                <w:iCs w:val="0"/>
                <w:color w:val="000000"/>
                <w:sz w:val="24"/>
                <w:szCs w:val="24"/>
                <w:highlight w:val="none"/>
                <w:u w:val="none"/>
              </w:rPr>
            </w:pPr>
          </w:p>
        </w:tc>
        <w:tc>
          <w:tcPr>
            <w:tcW w:w="7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9AC474C">
            <w:pPr>
              <w:rPr>
                <w:rFonts w:hint="default" w:ascii="Times New Roman" w:hAnsi="Times New Roman" w:eastAsia="仿宋_GB2312" w:cs="Times New Roman"/>
                <w:i w:val="0"/>
                <w:iCs w:val="0"/>
                <w:color w:val="000000"/>
                <w:sz w:val="24"/>
                <w:szCs w:val="24"/>
                <w:highlight w:val="none"/>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9D41">
            <w:pPr>
              <w:rPr>
                <w:rFonts w:hint="default" w:ascii="Times New Roman" w:hAnsi="Times New Roman" w:eastAsia="仿宋_GB2312" w:cs="Times New Roman"/>
                <w:i w:val="0"/>
                <w:iCs w:val="0"/>
                <w:color w:val="000000"/>
                <w:sz w:val="24"/>
                <w:szCs w:val="24"/>
                <w:highlight w:val="none"/>
                <w:u w:val="none"/>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0F1F">
            <w:pPr>
              <w:rPr>
                <w:rFonts w:hint="default" w:ascii="Times New Roman" w:hAnsi="Times New Roman" w:eastAsia="仿宋_GB2312" w:cs="Times New Roman"/>
                <w:i w:val="0"/>
                <w:iCs w:val="0"/>
                <w:color w:val="000000"/>
                <w:sz w:val="24"/>
                <w:szCs w:val="24"/>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9FAE">
            <w:pPr>
              <w:rPr>
                <w:rFonts w:hint="default" w:ascii="Times New Roman" w:hAnsi="Times New Roman" w:eastAsia="仿宋_GB2312" w:cs="Times New Roman"/>
                <w:i w:val="0"/>
                <w:iCs w:val="0"/>
                <w:color w:val="000000"/>
                <w:sz w:val="24"/>
                <w:szCs w:val="24"/>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E17F">
            <w:pPr>
              <w:rPr>
                <w:rFonts w:hint="default" w:ascii="Times New Roman" w:hAnsi="Times New Roman" w:eastAsia="仿宋_GB2312" w:cs="Times New Roman"/>
                <w:i w:val="0"/>
                <w:iCs w:val="0"/>
                <w:color w:val="000000"/>
                <w:sz w:val="24"/>
                <w:szCs w:val="24"/>
                <w:highlight w:val="none"/>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66E7">
            <w:pPr>
              <w:rPr>
                <w:rFonts w:hint="default" w:ascii="Times New Roman" w:hAnsi="Times New Roman" w:eastAsia="仿宋_GB2312" w:cs="Times New Roman"/>
                <w:i w:val="0"/>
                <w:iCs w:val="0"/>
                <w:color w:val="000000"/>
                <w:sz w:val="24"/>
                <w:szCs w:val="24"/>
                <w:highlight w:val="none"/>
                <w:u w:val="none"/>
              </w:rPr>
            </w:pPr>
          </w:p>
        </w:tc>
      </w:tr>
      <w:tr w14:paraId="354D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BCEC5C5">
            <w:pPr>
              <w:rPr>
                <w:rFonts w:hint="default" w:ascii="Times New Roman" w:hAnsi="Times New Roman" w:eastAsia="仿宋_GB2312" w:cs="Times New Roman"/>
                <w:i w:val="0"/>
                <w:iCs w:val="0"/>
                <w:color w:val="000000"/>
                <w:sz w:val="24"/>
                <w:szCs w:val="24"/>
                <w:highlight w:val="none"/>
                <w:u w:val="none"/>
              </w:rPr>
            </w:pPr>
          </w:p>
        </w:tc>
        <w:tc>
          <w:tcPr>
            <w:tcW w:w="239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1C9B886">
            <w:pPr>
              <w:rPr>
                <w:rFonts w:hint="default" w:ascii="Times New Roman" w:hAnsi="Times New Roman" w:eastAsia="仿宋_GB2312" w:cs="Times New Roman"/>
                <w:i w:val="0"/>
                <w:iCs w:val="0"/>
                <w:color w:val="000000"/>
                <w:sz w:val="24"/>
                <w:szCs w:val="24"/>
                <w:highlight w:val="none"/>
                <w:u w:val="none"/>
              </w:rPr>
            </w:pPr>
          </w:p>
        </w:tc>
        <w:tc>
          <w:tcPr>
            <w:tcW w:w="206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061BB29">
            <w:pPr>
              <w:rPr>
                <w:rFonts w:hint="default" w:ascii="Times New Roman" w:hAnsi="Times New Roman" w:eastAsia="仿宋_GB2312" w:cs="Times New Roman"/>
                <w:i w:val="0"/>
                <w:iCs w:val="0"/>
                <w:color w:val="000000"/>
                <w:sz w:val="24"/>
                <w:szCs w:val="24"/>
                <w:highlight w:val="none"/>
                <w:u w:val="none"/>
              </w:rPr>
            </w:pPr>
          </w:p>
        </w:tc>
        <w:tc>
          <w:tcPr>
            <w:tcW w:w="132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08F2885">
            <w:pPr>
              <w:rPr>
                <w:rFonts w:hint="default" w:ascii="Times New Roman" w:hAnsi="Times New Roman" w:eastAsia="仿宋_GB2312" w:cs="Times New Roman"/>
                <w:i w:val="0"/>
                <w:iCs w:val="0"/>
                <w:color w:val="000000"/>
                <w:sz w:val="24"/>
                <w:szCs w:val="24"/>
                <w:highlight w:val="none"/>
                <w:u w:val="none"/>
              </w:rPr>
            </w:pPr>
          </w:p>
        </w:tc>
        <w:tc>
          <w:tcPr>
            <w:tcW w:w="117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C2EE751">
            <w:pPr>
              <w:rPr>
                <w:rFonts w:hint="default" w:ascii="Times New Roman" w:hAnsi="Times New Roman" w:eastAsia="仿宋_GB2312" w:cs="Times New Roman"/>
                <w:i w:val="0"/>
                <w:iCs w:val="0"/>
                <w:color w:val="000000"/>
                <w:sz w:val="24"/>
                <w:szCs w:val="24"/>
                <w:highlight w:val="none"/>
                <w:u w:val="none"/>
              </w:rPr>
            </w:pPr>
          </w:p>
        </w:tc>
        <w:tc>
          <w:tcPr>
            <w:tcW w:w="65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758ADE">
            <w:pPr>
              <w:rPr>
                <w:rFonts w:hint="default" w:ascii="Times New Roman" w:hAnsi="Times New Roman" w:eastAsia="仿宋_GB2312" w:cs="Times New Roman"/>
                <w:i w:val="0"/>
                <w:iCs w:val="0"/>
                <w:color w:val="000000"/>
                <w:sz w:val="24"/>
                <w:szCs w:val="24"/>
                <w:highlight w:val="none"/>
                <w:u w:val="none"/>
              </w:rPr>
            </w:pPr>
          </w:p>
        </w:tc>
        <w:tc>
          <w:tcPr>
            <w:tcW w:w="7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57C36DF">
            <w:pPr>
              <w:rPr>
                <w:rFonts w:hint="default" w:ascii="Times New Roman" w:hAnsi="Times New Roman" w:eastAsia="仿宋_GB2312" w:cs="Times New Roman"/>
                <w:i w:val="0"/>
                <w:iCs w:val="0"/>
                <w:color w:val="000000"/>
                <w:sz w:val="24"/>
                <w:szCs w:val="24"/>
                <w:highlight w:val="none"/>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F518">
            <w:pPr>
              <w:rPr>
                <w:rFonts w:hint="default" w:ascii="Times New Roman" w:hAnsi="Times New Roman" w:eastAsia="仿宋_GB2312" w:cs="Times New Roman"/>
                <w:i w:val="0"/>
                <w:iCs w:val="0"/>
                <w:color w:val="000000"/>
                <w:sz w:val="24"/>
                <w:szCs w:val="24"/>
                <w:highlight w:val="none"/>
                <w:u w:val="none"/>
              </w:rPr>
            </w:pPr>
          </w:p>
        </w:tc>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8A50">
            <w:pPr>
              <w:rPr>
                <w:rFonts w:hint="default" w:ascii="Times New Roman" w:hAnsi="Times New Roman" w:eastAsia="仿宋_GB2312" w:cs="Times New Roman"/>
                <w:i w:val="0"/>
                <w:iCs w:val="0"/>
                <w:color w:val="000000"/>
                <w:sz w:val="24"/>
                <w:szCs w:val="24"/>
                <w:highlight w:val="none"/>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3734">
            <w:pPr>
              <w:rPr>
                <w:rFonts w:hint="default" w:ascii="Times New Roman" w:hAnsi="Times New Roman" w:eastAsia="仿宋_GB2312" w:cs="Times New Roman"/>
                <w:i w:val="0"/>
                <w:iCs w:val="0"/>
                <w:color w:val="000000"/>
                <w:sz w:val="24"/>
                <w:szCs w:val="24"/>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AFE6">
            <w:pPr>
              <w:rPr>
                <w:rFonts w:hint="default" w:ascii="Times New Roman" w:hAnsi="Times New Roman" w:eastAsia="仿宋_GB2312" w:cs="Times New Roman"/>
                <w:i w:val="0"/>
                <w:iCs w:val="0"/>
                <w:color w:val="000000"/>
                <w:sz w:val="24"/>
                <w:szCs w:val="24"/>
                <w:highlight w:val="none"/>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282B">
            <w:pPr>
              <w:rPr>
                <w:rFonts w:hint="default" w:ascii="Times New Roman" w:hAnsi="Times New Roman" w:eastAsia="仿宋_GB2312" w:cs="Times New Roman"/>
                <w:i w:val="0"/>
                <w:iCs w:val="0"/>
                <w:color w:val="000000"/>
                <w:sz w:val="24"/>
                <w:szCs w:val="24"/>
                <w:highlight w:val="none"/>
                <w:u w:val="none"/>
              </w:rPr>
            </w:pPr>
          </w:p>
        </w:tc>
      </w:tr>
      <w:tr w14:paraId="5C19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1" w:type="dxa"/>
            <w:tcBorders>
              <w:top w:val="nil"/>
              <w:left w:val="single" w:color="000000" w:sz="4" w:space="0"/>
              <w:bottom w:val="nil"/>
              <w:right w:val="nil"/>
            </w:tcBorders>
            <w:shd w:val="clear" w:color="auto" w:fill="auto"/>
            <w:noWrap/>
            <w:vAlign w:val="center"/>
          </w:tcPr>
          <w:p w14:paraId="6A93DC9F">
            <w:pPr>
              <w:rPr>
                <w:rFonts w:hint="default" w:ascii="Times New Roman" w:hAnsi="Times New Roman" w:eastAsia="仿宋_GB2312" w:cs="Times New Roman"/>
                <w:i w:val="0"/>
                <w:iCs w:val="0"/>
                <w:color w:val="000000"/>
                <w:sz w:val="24"/>
                <w:szCs w:val="24"/>
                <w:highlight w:val="none"/>
                <w:u w:val="none"/>
              </w:rPr>
            </w:pPr>
          </w:p>
        </w:tc>
        <w:tc>
          <w:tcPr>
            <w:tcW w:w="2394" w:type="dxa"/>
            <w:tcBorders>
              <w:top w:val="nil"/>
              <w:left w:val="nil"/>
              <w:bottom w:val="nil"/>
              <w:right w:val="nil"/>
            </w:tcBorders>
            <w:shd w:val="clear" w:color="auto" w:fill="auto"/>
            <w:noWrap/>
            <w:vAlign w:val="center"/>
          </w:tcPr>
          <w:p w14:paraId="3CDDFFCD">
            <w:pPr>
              <w:rPr>
                <w:rFonts w:hint="default" w:ascii="Times New Roman" w:hAnsi="Times New Roman" w:eastAsia="仿宋_GB2312" w:cs="Times New Roman"/>
                <w:i w:val="0"/>
                <w:iCs w:val="0"/>
                <w:color w:val="000000"/>
                <w:sz w:val="24"/>
                <w:szCs w:val="24"/>
                <w:highlight w:val="none"/>
                <w:u w:val="none"/>
              </w:rPr>
            </w:pPr>
          </w:p>
        </w:tc>
        <w:tc>
          <w:tcPr>
            <w:tcW w:w="2067" w:type="dxa"/>
            <w:tcBorders>
              <w:top w:val="nil"/>
              <w:left w:val="nil"/>
              <w:bottom w:val="nil"/>
              <w:right w:val="nil"/>
            </w:tcBorders>
            <w:shd w:val="clear" w:color="auto" w:fill="auto"/>
            <w:noWrap/>
            <w:vAlign w:val="center"/>
          </w:tcPr>
          <w:p w14:paraId="7B34E278">
            <w:pPr>
              <w:rPr>
                <w:rFonts w:hint="default" w:ascii="Times New Roman" w:hAnsi="Times New Roman" w:eastAsia="仿宋_GB2312" w:cs="Times New Roman"/>
                <w:i w:val="0"/>
                <w:iCs w:val="0"/>
                <w:color w:val="000000"/>
                <w:sz w:val="24"/>
                <w:szCs w:val="24"/>
                <w:highlight w:val="none"/>
                <w:u w:val="none"/>
              </w:rPr>
            </w:pPr>
          </w:p>
        </w:tc>
        <w:tc>
          <w:tcPr>
            <w:tcW w:w="1322" w:type="dxa"/>
            <w:tcBorders>
              <w:top w:val="nil"/>
              <w:left w:val="nil"/>
              <w:bottom w:val="nil"/>
              <w:right w:val="nil"/>
            </w:tcBorders>
            <w:shd w:val="clear" w:color="auto" w:fill="auto"/>
            <w:noWrap/>
            <w:vAlign w:val="center"/>
          </w:tcPr>
          <w:p w14:paraId="4580052B">
            <w:pPr>
              <w:rPr>
                <w:rFonts w:hint="default" w:ascii="Times New Roman" w:hAnsi="Times New Roman" w:eastAsia="仿宋_GB2312" w:cs="Times New Roman"/>
                <w:i w:val="0"/>
                <w:iCs w:val="0"/>
                <w:color w:val="000000"/>
                <w:sz w:val="24"/>
                <w:szCs w:val="24"/>
                <w:highlight w:val="none"/>
                <w:u w:val="none"/>
              </w:rPr>
            </w:pPr>
          </w:p>
        </w:tc>
        <w:tc>
          <w:tcPr>
            <w:tcW w:w="1178" w:type="dxa"/>
            <w:tcBorders>
              <w:top w:val="nil"/>
              <w:left w:val="nil"/>
              <w:bottom w:val="nil"/>
              <w:right w:val="nil"/>
            </w:tcBorders>
            <w:shd w:val="clear" w:color="auto" w:fill="auto"/>
            <w:noWrap/>
            <w:vAlign w:val="center"/>
          </w:tcPr>
          <w:p w14:paraId="0F4C379E">
            <w:pPr>
              <w:rPr>
                <w:rFonts w:hint="default" w:ascii="Times New Roman" w:hAnsi="Times New Roman" w:eastAsia="仿宋_GB2312" w:cs="Times New Roman"/>
                <w:i w:val="0"/>
                <w:iCs w:val="0"/>
                <w:color w:val="000000"/>
                <w:sz w:val="24"/>
                <w:szCs w:val="24"/>
                <w:highlight w:val="none"/>
                <w:u w:val="none"/>
              </w:rPr>
            </w:pPr>
          </w:p>
        </w:tc>
        <w:tc>
          <w:tcPr>
            <w:tcW w:w="652" w:type="dxa"/>
            <w:tcBorders>
              <w:top w:val="nil"/>
              <w:left w:val="nil"/>
              <w:bottom w:val="nil"/>
              <w:right w:val="nil"/>
            </w:tcBorders>
            <w:shd w:val="clear" w:color="auto" w:fill="auto"/>
            <w:noWrap/>
            <w:vAlign w:val="center"/>
          </w:tcPr>
          <w:p w14:paraId="411392FD">
            <w:pPr>
              <w:rPr>
                <w:rFonts w:hint="default" w:ascii="Times New Roman" w:hAnsi="Times New Roman" w:eastAsia="仿宋_GB2312" w:cs="Times New Roman"/>
                <w:i w:val="0"/>
                <w:iCs w:val="0"/>
                <w:color w:val="000000"/>
                <w:sz w:val="24"/>
                <w:szCs w:val="24"/>
                <w:highlight w:val="none"/>
                <w:u w:val="none"/>
              </w:rPr>
            </w:pPr>
          </w:p>
        </w:tc>
        <w:tc>
          <w:tcPr>
            <w:tcW w:w="760" w:type="dxa"/>
            <w:tcBorders>
              <w:top w:val="nil"/>
              <w:left w:val="nil"/>
              <w:bottom w:val="nil"/>
              <w:right w:val="single" w:color="000000" w:sz="4" w:space="0"/>
            </w:tcBorders>
            <w:shd w:val="clear" w:color="auto" w:fill="auto"/>
            <w:noWrap/>
            <w:vAlign w:val="center"/>
          </w:tcPr>
          <w:p w14:paraId="3675CA49">
            <w:pPr>
              <w:rPr>
                <w:rFonts w:hint="default" w:ascii="Times New Roman" w:hAnsi="Times New Roman" w:eastAsia="仿宋_GB2312" w:cs="Times New Roman"/>
                <w:i w:val="0"/>
                <w:iCs w:val="0"/>
                <w:color w:val="000000"/>
                <w:sz w:val="24"/>
                <w:szCs w:val="24"/>
                <w:highlight w:val="none"/>
                <w:u w:val="none"/>
              </w:rPr>
            </w:pPr>
          </w:p>
        </w:tc>
        <w:tc>
          <w:tcPr>
            <w:tcW w:w="1649" w:type="dxa"/>
            <w:tcBorders>
              <w:top w:val="nil"/>
              <w:left w:val="single" w:color="000000" w:sz="4" w:space="0"/>
              <w:bottom w:val="nil"/>
              <w:right w:val="nil"/>
            </w:tcBorders>
            <w:shd w:val="clear" w:color="auto" w:fill="auto"/>
            <w:noWrap/>
            <w:vAlign w:val="center"/>
          </w:tcPr>
          <w:p w14:paraId="5A19001D">
            <w:pPr>
              <w:rPr>
                <w:rFonts w:hint="default" w:ascii="Times New Roman" w:hAnsi="Times New Roman" w:eastAsia="仿宋_GB2312" w:cs="Times New Roman"/>
                <w:i w:val="0"/>
                <w:iCs w:val="0"/>
                <w:color w:val="000000"/>
                <w:sz w:val="24"/>
                <w:szCs w:val="24"/>
                <w:highlight w:val="none"/>
                <w:u w:val="none"/>
              </w:rPr>
            </w:pPr>
          </w:p>
        </w:tc>
        <w:tc>
          <w:tcPr>
            <w:tcW w:w="1323" w:type="dxa"/>
            <w:gridSpan w:val="2"/>
            <w:tcBorders>
              <w:top w:val="nil"/>
              <w:left w:val="nil"/>
              <w:bottom w:val="nil"/>
              <w:right w:val="nil"/>
            </w:tcBorders>
            <w:shd w:val="clear" w:color="auto" w:fill="auto"/>
            <w:noWrap/>
            <w:vAlign w:val="center"/>
          </w:tcPr>
          <w:p w14:paraId="57377118">
            <w:pPr>
              <w:rPr>
                <w:rFonts w:hint="default" w:ascii="Times New Roman" w:hAnsi="Times New Roman" w:eastAsia="仿宋_GB2312" w:cs="Times New Roman"/>
                <w:i w:val="0"/>
                <w:iCs w:val="0"/>
                <w:color w:val="000000"/>
                <w:sz w:val="24"/>
                <w:szCs w:val="24"/>
                <w:highlight w:val="none"/>
                <w:u w:val="none"/>
              </w:rPr>
            </w:pPr>
          </w:p>
        </w:tc>
        <w:tc>
          <w:tcPr>
            <w:tcW w:w="1090" w:type="dxa"/>
            <w:tcBorders>
              <w:top w:val="nil"/>
              <w:left w:val="nil"/>
              <w:bottom w:val="nil"/>
              <w:right w:val="nil"/>
            </w:tcBorders>
            <w:shd w:val="clear" w:color="auto" w:fill="auto"/>
            <w:noWrap/>
            <w:vAlign w:val="center"/>
          </w:tcPr>
          <w:p w14:paraId="5AE6F746">
            <w:pPr>
              <w:rPr>
                <w:rFonts w:hint="default" w:ascii="Times New Roman" w:hAnsi="Times New Roman" w:eastAsia="仿宋_GB2312" w:cs="Times New Roman"/>
                <w:i w:val="0"/>
                <w:iCs w:val="0"/>
                <w:color w:val="000000"/>
                <w:sz w:val="24"/>
                <w:szCs w:val="24"/>
                <w:highlight w:val="none"/>
                <w:u w:val="none"/>
              </w:rPr>
            </w:pPr>
          </w:p>
        </w:tc>
        <w:tc>
          <w:tcPr>
            <w:tcW w:w="1349" w:type="dxa"/>
            <w:gridSpan w:val="2"/>
            <w:tcBorders>
              <w:top w:val="nil"/>
              <w:left w:val="nil"/>
              <w:bottom w:val="nil"/>
              <w:right w:val="nil"/>
            </w:tcBorders>
            <w:shd w:val="clear" w:color="auto" w:fill="auto"/>
            <w:noWrap/>
            <w:vAlign w:val="center"/>
          </w:tcPr>
          <w:p w14:paraId="6EC6B8F5">
            <w:pPr>
              <w:rPr>
                <w:rFonts w:hint="default" w:ascii="Times New Roman" w:hAnsi="Times New Roman" w:eastAsia="仿宋_GB2312" w:cs="Times New Roman"/>
                <w:i w:val="0"/>
                <w:iCs w:val="0"/>
                <w:color w:val="000000"/>
                <w:sz w:val="24"/>
                <w:szCs w:val="24"/>
                <w:highlight w:val="none"/>
                <w:u w:val="none"/>
              </w:rPr>
            </w:pPr>
          </w:p>
        </w:tc>
        <w:tc>
          <w:tcPr>
            <w:tcW w:w="965" w:type="dxa"/>
            <w:tcBorders>
              <w:top w:val="nil"/>
              <w:left w:val="nil"/>
              <w:bottom w:val="nil"/>
              <w:right w:val="single" w:color="000000" w:sz="4" w:space="0"/>
            </w:tcBorders>
            <w:shd w:val="clear" w:color="auto" w:fill="auto"/>
            <w:noWrap/>
            <w:vAlign w:val="center"/>
          </w:tcPr>
          <w:p w14:paraId="19E2A0D1">
            <w:pPr>
              <w:rPr>
                <w:rFonts w:hint="default" w:ascii="Times New Roman" w:hAnsi="Times New Roman" w:eastAsia="仿宋_GB2312" w:cs="Times New Roman"/>
                <w:i w:val="0"/>
                <w:iCs w:val="0"/>
                <w:color w:val="000000"/>
                <w:sz w:val="24"/>
                <w:szCs w:val="24"/>
                <w:highlight w:val="none"/>
                <w:u w:val="none"/>
              </w:rPr>
            </w:pPr>
          </w:p>
        </w:tc>
      </w:tr>
      <w:tr w14:paraId="383D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85" w:type="dxa"/>
            <w:gridSpan w:val="2"/>
            <w:tcBorders>
              <w:top w:val="nil"/>
              <w:left w:val="single" w:color="000000" w:sz="4" w:space="0"/>
              <w:bottom w:val="nil"/>
              <w:right w:val="nil"/>
            </w:tcBorders>
            <w:shd w:val="clear" w:color="auto" w:fill="auto"/>
            <w:noWrap/>
            <w:vAlign w:val="center"/>
          </w:tcPr>
          <w:p w14:paraId="61F28BF8">
            <w:pP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sz w:val="24"/>
                <w:szCs w:val="24"/>
                <w:highlight w:val="none"/>
                <w:u w:val="none"/>
                <w:lang w:eastAsia="zh-CN"/>
              </w:rPr>
              <w:t>调出单位确认</w:t>
            </w:r>
          </w:p>
        </w:tc>
        <w:tc>
          <w:tcPr>
            <w:tcW w:w="2067" w:type="dxa"/>
            <w:tcBorders>
              <w:top w:val="nil"/>
              <w:left w:val="nil"/>
              <w:bottom w:val="nil"/>
              <w:right w:val="nil"/>
            </w:tcBorders>
            <w:shd w:val="clear" w:color="auto" w:fill="auto"/>
            <w:noWrap/>
            <w:vAlign w:val="center"/>
          </w:tcPr>
          <w:p w14:paraId="6FB12B0D">
            <w:pPr>
              <w:rPr>
                <w:rFonts w:hint="default" w:ascii="Times New Roman" w:hAnsi="Times New Roman" w:eastAsia="仿宋_GB2312" w:cs="Times New Roman"/>
                <w:i w:val="0"/>
                <w:iCs w:val="0"/>
                <w:color w:val="000000"/>
                <w:sz w:val="24"/>
                <w:szCs w:val="24"/>
                <w:highlight w:val="none"/>
                <w:u w:val="none"/>
              </w:rPr>
            </w:pPr>
          </w:p>
        </w:tc>
        <w:tc>
          <w:tcPr>
            <w:tcW w:w="1322" w:type="dxa"/>
            <w:tcBorders>
              <w:top w:val="nil"/>
              <w:left w:val="nil"/>
              <w:bottom w:val="nil"/>
              <w:right w:val="nil"/>
            </w:tcBorders>
            <w:shd w:val="clear" w:color="auto" w:fill="auto"/>
            <w:noWrap/>
            <w:vAlign w:val="center"/>
          </w:tcPr>
          <w:p w14:paraId="700CE2F2">
            <w:pPr>
              <w:rPr>
                <w:rFonts w:hint="default" w:ascii="Times New Roman" w:hAnsi="Times New Roman" w:eastAsia="仿宋_GB2312" w:cs="Times New Roman"/>
                <w:i w:val="0"/>
                <w:iCs w:val="0"/>
                <w:color w:val="000000"/>
                <w:sz w:val="24"/>
                <w:szCs w:val="24"/>
                <w:highlight w:val="none"/>
                <w:u w:val="none"/>
              </w:rPr>
            </w:pPr>
          </w:p>
        </w:tc>
        <w:tc>
          <w:tcPr>
            <w:tcW w:w="1178" w:type="dxa"/>
            <w:tcBorders>
              <w:top w:val="nil"/>
              <w:left w:val="nil"/>
              <w:bottom w:val="nil"/>
              <w:right w:val="nil"/>
            </w:tcBorders>
            <w:shd w:val="clear" w:color="auto" w:fill="auto"/>
            <w:noWrap/>
            <w:vAlign w:val="center"/>
          </w:tcPr>
          <w:p w14:paraId="2F0A28EF">
            <w:pPr>
              <w:rPr>
                <w:rFonts w:hint="default" w:ascii="Times New Roman" w:hAnsi="Times New Roman" w:eastAsia="仿宋_GB2312" w:cs="Times New Roman"/>
                <w:i w:val="0"/>
                <w:iCs w:val="0"/>
                <w:color w:val="000000"/>
                <w:sz w:val="24"/>
                <w:szCs w:val="24"/>
                <w:highlight w:val="none"/>
                <w:u w:val="none"/>
              </w:rPr>
            </w:pPr>
          </w:p>
        </w:tc>
        <w:tc>
          <w:tcPr>
            <w:tcW w:w="652" w:type="dxa"/>
            <w:tcBorders>
              <w:top w:val="nil"/>
              <w:left w:val="nil"/>
              <w:bottom w:val="nil"/>
              <w:right w:val="nil"/>
            </w:tcBorders>
            <w:shd w:val="clear" w:color="auto" w:fill="auto"/>
            <w:noWrap/>
            <w:vAlign w:val="center"/>
          </w:tcPr>
          <w:p w14:paraId="2413D4E9">
            <w:pPr>
              <w:rPr>
                <w:rFonts w:hint="default" w:ascii="Times New Roman" w:hAnsi="Times New Roman" w:eastAsia="仿宋_GB2312" w:cs="Times New Roman"/>
                <w:i w:val="0"/>
                <w:iCs w:val="0"/>
                <w:color w:val="000000"/>
                <w:sz w:val="24"/>
                <w:szCs w:val="24"/>
                <w:highlight w:val="none"/>
                <w:u w:val="none"/>
              </w:rPr>
            </w:pPr>
          </w:p>
        </w:tc>
        <w:tc>
          <w:tcPr>
            <w:tcW w:w="760" w:type="dxa"/>
            <w:tcBorders>
              <w:top w:val="nil"/>
              <w:left w:val="nil"/>
              <w:bottom w:val="nil"/>
              <w:right w:val="single" w:color="000000" w:sz="4" w:space="0"/>
            </w:tcBorders>
            <w:shd w:val="clear" w:color="auto" w:fill="auto"/>
            <w:noWrap/>
            <w:vAlign w:val="center"/>
          </w:tcPr>
          <w:p w14:paraId="7568F514">
            <w:pPr>
              <w:rPr>
                <w:rFonts w:hint="default" w:ascii="Times New Roman" w:hAnsi="Times New Roman" w:eastAsia="仿宋_GB2312" w:cs="Times New Roman"/>
                <w:i w:val="0"/>
                <w:iCs w:val="0"/>
                <w:color w:val="000000"/>
                <w:sz w:val="24"/>
                <w:szCs w:val="24"/>
                <w:highlight w:val="none"/>
                <w:u w:val="none"/>
              </w:rPr>
            </w:pPr>
          </w:p>
        </w:tc>
        <w:tc>
          <w:tcPr>
            <w:tcW w:w="1884" w:type="dxa"/>
            <w:gridSpan w:val="2"/>
            <w:tcBorders>
              <w:top w:val="nil"/>
              <w:left w:val="single" w:color="000000" w:sz="4" w:space="0"/>
              <w:bottom w:val="nil"/>
              <w:right w:val="nil"/>
            </w:tcBorders>
            <w:shd w:val="clear" w:color="auto" w:fill="auto"/>
            <w:noWrap/>
            <w:vAlign w:val="center"/>
          </w:tcPr>
          <w:p w14:paraId="1A249716">
            <w:pPr>
              <w:rPr>
                <w:rFonts w:hint="default" w:ascii="Times New Roman" w:hAnsi="Times New Roman" w:eastAsia="仿宋_GB2312" w:cs="Times New Roman"/>
                <w:i w:val="0"/>
                <w:iCs w:val="0"/>
                <w:color w:val="000000"/>
                <w:sz w:val="24"/>
                <w:szCs w:val="24"/>
                <w:highlight w:val="none"/>
                <w:u w:val="none"/>
                <w:lang w:eastAsia="zh-CN"/>
              </w:rPr>
            </w:pPr>
            <w:r>
              <w:rPr>
                <w:rFonts w:hint="default" w:ascii="Times New Roman" w:hAnsi="Times New Roman" w:eastAsia="仿宋_GB2312" w:cs="Times New Roman"/>
                <w:i w:val="0"/>
                <w:iCs w:val="0"/>
                <w:color w:val="000000"/>
                <w:sz w:val="24"/>
                <w:szCs w:val="24"/>
                <w:highlight w:val="none"/>
                <w:u w:val="none"/>
                <w:lang w:eastAsia="zh-CN"/>
              </w:rPr>
              <w:t>调入单位确认</w:t>
            </w:r>
          </w:p>
        </w:tc>
        <w:tc>
          <w:tcPr>
            <w:tcW w:w="1088" w:type="dxa"/>
            <w:tcBorders>
              <w:top w:val="nil"/>
              <w:left w:val="nil"/>
              <w:bottom w:val="nil"/>
              <w:right w:val="nil"/>
            </w:tcBorders>
            <w:shd w:val="clear" w:color="auto" w:fill="auto"/>
            <w:noWrap/>
            <w:vAlign w:val="center"/>
          </w:tcPr>
          <w:p w14:paraId="21774757">
            <w:pPr>
              <w:rPr>
                <w:rFonts w:hint="default" w:ascii="Times New Roman" w:hAnsi="Times New Roman" w:eastAsia="仿宋_GB2312" w:cs="Times New Roman"/>
                <w:i w:val="0"/>
                <w:iCs w:val="0"/>
                <w:color w:val="000000"/>
                <w:sz w:val="24"/>
                <w:szCs w:val="24"/>
                <w:highlight w:val="none"/>
                <w:u w:val="none"/>
              </w:rPr>
            </w:pPr>
          </w:p>
        </w:tc>
        <w:tc>
          <w:tcPr>
            <w:tcW w:w="1090" w:type="dxa"/>
            <w:tcBorders>
              <w:top w:val="nil"/>
              <w:left w:val="nil"/>
              <w:bottom w:val="nil"/>
              <w:right w:val="nil"/>
            </w:tcBorders>
            <w:shd w:val="clear" w:color="auto" w:fill="auto"/>
            <w:noWrap/>
            <w:vAlign w:val="center"/>
          </w:tcPr>
          <w:p w14:paraId="15DD1A27">
            <w:pPr>
              <w:rPr>
                <w:rFonts w:hint="default" w:ascii="Times New Roman" w:hAnsi="Times New Roman" w:eastAsia="仿宋_GB2312" w:cs="Times New Roman"/>
                <w:i w:val="0"/>
                <w:iCs w:val="0"/>
                <w:color w:val="000000"/>
                <w:sz w:val="24"/>
                <w:szCs w:val="24"/>
                <w:highlight w:val="none"/>
                <w:u w:val="none"/>
              </w:rPr>
            </w:pPr>
          </w:p>
        </w:tc>
        <w:tc>
          <w:tcPr>
            <w:tcW w:w="1349" w:type="dxa"/>
            <w:gridSpan w:val="2"/>
            <w:tcBorders>
              <w:top w:val="nil"/>
              <w:left w:val="nil"/>
              <w:bottom w:val="nil"/>
              <w:right w:val="nil"/>
            </w:tcBorders>
            <w:shd w:val="clear" w:color="auto" w:fill="auto"/>
            <w:noWrap/>
            <w:vAlign w:val="center"/>
          </w:tcPr>
          <w:p w14:paraId="67CD591F">
            <w:pPr>
              <w:rPr>
                <w:rFonts w:hint="default" w:ascii="Times New Roman" w:hAnsi="Times New Roman" w:eastAsia="仿宋_GB2312" w:cs="Times New Roman"/>
                <w:i w:val="0"/>
                <w:iCs w:val="0"/>
                <w:color w:val="000000"/>
                <w:sz w:val="24"/>
                <w:szCs w:val="24"/>
                <w:highlight w:val="none"/>
                <w:u w:val="none"/>
              </w:rPr>
            </w:pPr>
          </w:p>
        </w:tc>
        <w:tc>
          <w:tcPr>
            <w:tcW w:w="965" w:type="dxa"/>
            <w:tcBorders>
              <w:top w:val="nil"/>
              <w:left w:val="nil"/>
              <w:bottom w:val="nil"/>
              <w:right w:val="single" w:color="000000" w:sz="4" w:space="0"/>
            </w:tcBorders>
            <w:shd w:val="clear" w:color="auto" w:fill="auto"/>
            <w:noWrap/>
            <w:vAlign w:val="center"/>
          </w:tcPr>
          <w:p w14:paraId="348EFD67">
            <w:pPr>
              <w:rPr>
                <w:rFonts w:hint="default" w:ascii="Times New Roman" w:hAnsi="Times New Roman" w:eastAsia="仿宋_GB2312" w:cs="Times New Roman"/>
                <w:i w:val="0"/>
                <w:iCs w:val="0"/>
                <w:color w:val="000000"/>
                <w:sz w:val="24"/>
                <w:szCs w:val="24"/>
                <w:highlight w:val="none"/>
                <w:u w:val="none"/>
              </w:rPr>
            </w:pPr>
          </w:p>
        </w:tc>
      </w:tr>
      <w:tr w14:paraId="2795A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85" w:type="dxa"/>
            <w:gridSpan w:val="2"/>
            <w:tcBorders>
              <w:top w:val="nil"/>
              <w:left w:val="single" w:color="000000" w:sz="4" w:space="0"/>
              <w:bottom w:val="nil"/>
              <w:right w:val="nil"/>
            </w:tcBorders>
            <w:shd w:val="clear" w:color="auto" w:fill="auto"/>
            <w:noWrap/>
            <w:vAlign w:val="center"/>
          </w:tcPr>
          <w:p w14:paraId="0CA21A5B">
            <w:pP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确认人：</w:t>
            </w:r>
          </w:p>
        </w:tc>
        <w:tc>
          <w:tcPr>
            <w:tcW w:w="2067" w:type="dxa"/>
            <w:tcBorders>
              <w:top w:val="nil"/>
              <w:left w:val="nil"/>
              <w:bottom w:val="nil"/>
              <w:right w:val="nil"/>
            </w:tcBorders>
            <w:shd w:val="clear" w:color="auto" w:fill="auto"/>
            <w:noWrap/>
            <w:vAlign w:val="center"/>
          </w:tcPr>
          <w:p w14:paraId="4C2A94C3">
            <w:pPr>
              <w:rPr>
                <w:rFonts w:hint="default" w:ascii="Times New Roman" w:hAnsi="Times New Roman" w:eastAsia="仿宋_GB2312" w:cs="Times New Roman"/>
                <w:i w:val="0"/>
                <w:iCs w:val="0"/>
                <w:color w:val="000000"/>
                <w:sz w:val="24"/>
                <w:szCs w:val="24"/>
                <w:highlight w:val="none"/>
                <w:u w:val="none"/>
              </w:rPr>
            </w:pPr>
          </w:p>
        </w:tc>
        <w:tc>
          <w:tcPr>
            <w:tcW w:w="1322" w:type="dxa"/>
            <w:tcBorders>
              <w:top w:val="nil"/>
              <w:left w:val="nil"/>
              <w:bottom w:val="nil"/>
              <w:right w:val="nil"/>
            </w:tcBorders>
            <w:shd w:val="clear" w:color="auto" w:fill="auto"/>
            <w:noWrap/>
            <w:vAlign w:val="center"/>
          </w:tcPr>
          <w:p w14:paraId="78156665">
            <w:pPr>
              <w:rPr>
                <w:rFonts w:hint="default" w:ascii="Times New Roman" w:hAnsi="Times New Roman" w:eastAsia="仿宋_GB2312" w:cs="Times New Roman"/>
                <w:i w:val="0"/>
                <w:iCs w:val="0"/>
                <w:color w:val="000000"/>
                <w:sz w:val="24"/>
                <w:szCs w:val="24"/>
                <w:highlight w:val="none"/>
                <w:u w:val="none"/>
              </w:rPr>
            </w:pPr>
          </w:p>
        </w:tc>
        <w:tc>
          <w:tcPr>
            <w:tcW w:w="1178" w:type="dxa"/>
            <w:tcBorders>
              <w:top w:val="nil"/>
              <w:left w:val="nil"/>
              <w:bottom w:val="nil"/>
              <w:right w:val="nil"/>
            </w:tcBorders>
            <w:shd w:val="clear" w:color="auto" w:fill="auto"/>
            <w:noWrap/>
            <w:vAlign w:val="center"/>
          </w:tcPr>
          <w:p w14:paraId="1D7DD75E">
            <w:pPr>
              <w:rPr>
                <w:rFonts w:hint="default" w:ascii="Times New Roman" w:hAnsi="Times New Roman" w:eastAsia="仿宋_GB2312" w:cs="Times New Roman"/>
                <w:i w:val="0"/>
                <w:iCs w:val="0"/>
                <w:color w:val="000000"/>
                <w:sz w:val="24"/>
                <w:szCs w:val="24"/>
                <w:highlight w:val="none"/>
                <w:u w:val="none"/>
              </w:rPr>
            </w:pPr>
          </w:p>
        </w:tc>
        <w:tc>
          <w:tcPr>
            <w:tcW w:w="652" w:type="dxa"/>
            <w:tcBorders>
              <w:top w:val="nil"/>
              <w:left w:val="nil"/>
              <w:bottom w:val="nil"/>
              <w:right w:val="nil"/>
            </w:tcBorders>
            <w:shd w:val="clear" w:color="auto" w:fill="auto"/>
            <w:noWrap/>
            <w:vAlign w:val="center"/>
          </w:tcPr>
          <w:p w14:paraId="2EF0F5C6">
            <w:pPr>
              <w:rPr>
                <w:rFonts w:hint="default" w:ascii="Times New Roman" w:hAnsi="Times New Roman" w:eastAsia="仿宋_GB2312" w:cs="Times New Roman"/>
                <w:i w:val="0"/>
                <w:iCs w:val="0"/>
                <w:color w:val="000000"/>
                <w:sz w:val="24"/>
                <w:szCs w:val="24"/>
                <w:highlight w:val="none"/>
                <w:u w:val="none"/>
              </w:rPr>
            </w:pPr>
          </w:p>
        </w:tc>
        <w:tc>
          <w:tcPr>
            <w:tcW w:w="760" w:type="dxa"/>
            <w:tcBorders>
              <w:top w:val="nil"/>
              <w:left w:val="nil"/>
              <w:bottom w:val="nil"/>
              <w:right w:val="single" w:color="000000" w:sz="4" w:space="0"/>
            </w:tcBorders>
            <w:shd w:val="clear" w:color="auto" w:fill="auto"/>
            <w:noWrap/>
            <w:vAlign w:val="center"/>
          </w:tcPr>
          <w:p w14:paraId="3EC59D80">
            <w:pPr>
              <w:rPr>
                <w:rFonts w:hint="default" w:ascii="Times New Roman" w:hAnsi="Times New Roman" w:eastAsia="仿宋_GB2312" w:cs="Times New Roman"/>
                <w:i w:val="0"/>
                <w:iCs w:val="0"/>
                <w:color w:val="000000"/>
                <w:sz w:val="24"/>
                <w:szCs w:val="24"/>
                <w:highlight w:val="none"/>
                <w:u w:val="none"/>
              </w:rPr>
            </w:pPr>
          </w:p>
        </w:tc>
        <w:tc>
          <w:tcPr>
            <w:tcW w:w="1649" w:type="dxa"/>
            <w:tcBorders>
              <w:top w:val="nil"/>
              <w:left w:val="single" w:color="000000" w:sz="4" w:space="0"/>
              <w:bottom w:val="nil"/>
              <w:right w:val="nil"/>
            </w:tcBorders>
            <w:shd w:val="clear" w:color="auto" w:fill="auto"/>
            <w:noWrap/>
            <w:vAlign w:val="center"/>
          </w:tcPr>
          <w:p w14:paraId="68DFF27B">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确认人：</w:t>
            </w:r>
          </w:p>
        </w:tc>
        <w:tc>
          <w:tcPr>
            <w:tcW w:w="1323" w:type="dxa"/>
            <w:gridSpan w:val="2"/>
            <w:tcBorders>
              <w:top w:val="nil"/>
              <w:left w:val="nil"/>
              <w:bottom w:val="nil"/>
              <w:right w:val="nil"/>
            </w:tcBorders>
            <w:shd w:val="clear" w:color="auto" w:fill="auto"/>
            <w:noWrap/>
            <w:vAlign w:val="center"/>
          </w:tcPr>
          <w:p w14:paraId="6403080A">
            <w:pPr>
              <w:rPr>
                <w:rFonts w:hint="default" w:ascii="Times New Roman" w:hAnsi="Times New Roman" w:eastAsia="仿宋_GB2312" w:cs="Times New Roman"/>
                <w:i w:val="0"/>
                <w:iCs w:val="0"/>
                <w:color w:val="000000"/>
                <w:sz w:val="24"/>
                <w:szCs w:val="24"/>
                <w:highlight w:val="none"/>
                <w:u w:val="none"/>
              </w:rPr>
            </w:pPr>
          </w:p>
        </w:tc>
        <w:tc>
          <w:tcPr>
            <w:tcW w:w="1090" w:type="dxa"/>
            <w:tcBorders>
              <w:top w:val="nil"/>
              <w:left w:val="nil"/>
              <w:bottom w:val="nil"/>
              <w:right w:val="nil"/>
            </w:tcBorders>
            <w:shd w:val="clear" w:color="auto" w:fill="auto"/>
            <w:noWrap/>
            <w:vAlign w:val="center"/>
          </w:tcPr>
          <w:p w14:paraId="378BED1B">
            <w:pPr>
              <w:rPr>
                <w:rFonts w:hint="default" w:ascii="Times New Roman" w:hAnsi="Times New Roman" w:eastAsia="仿宋_GB2312" w:cs="Times New Roman"/>
                <w:i w:val="0"/>
                <w:iCs w:val="0"/>
                <w:color w:val="000000"/>
                <w:sz w:val="24"/>
                <w:szCs w:val="24"/>
                <w:highlight w:val="none"/>
                <w:u w:val="none"/>
              </w:rPr>
            </w:pPr>
          </w:p>
        </w:tc>
        <w:tc>
          <w:tcPr>
            <w:tcW w:w="1349" w:type="dxa"/>
            <w:gridSpan w:val="2"/>
            <w:tcBorders>
              <w:top w:val="nil"/>
              <w:left w:val="nil"/>
              <w:bottom w:val="nil"/>
              <w:right w:val="nil"/>
            </w:tcBorders>
            <w:shd w:val="clear" w:color="auto" w:fill="auto"/>
            <w:noWrap/>
            <w:vAlign w:val="center"/>
          </w:tcPr>
          <w:p w14:paraId="66DDE68A">
            <w:pPr>
              <w:rPr>
                <w:rFonts w:hint="default" w:ascii="Times New Roman" w:hAnsi="Times New Roman" w:eastAsia="仿宋_GB2312" w:cs="Times New Roman"/>
                <w:i w:val="0"/>
                <w:iCs w:val="0"/>
                <w:color w:val="000000"/>
                <w:sz w:val="24"/>
                <w:szCs w:val="24"/>
                <w:highlight w:val="none"/>
                <w:u w:val="none"/>
              </w:rPr>
            </w:pPr>
          </w:p>
        </w:tc>
        <w:tc>
          <w:tcPr>
            <w:tcW w:w="965" w:type="dxa"/>
            <w:tcBorders>
              <w:top w:val="nil"/>
              <w:left w:val="nil"/>
              <w:bottom w:val="nil"/>
              <w:right w:val="single" w:color="000000" w:sz="4" w:space="0"/>
            </w:tcBorders>
            <w:shd w:val="clear" w:color="auto" w:fill="auto"/>
            <w:noWrap/>
            <w:vAlign w:val="center"/>
          </w:tcPr>
          <w:p w14:paraId="3F66CF17">
            <w:pPr>
              <w:rPr>
                <w:rFonts w:hint="default" w:ascii="Times New Roman" w:hAnsi="Times New Roman" w:eastAsia="仿宋_GB2312" w:cs="Times New Roman"/>
                <w:i w:val="0"/>
                <w:iCs w:val="0"/>
                <w:color w:val="000000"/>
                <w:sz w:val="24"/>
                <w:szCs w:val="24"/>
                <w:highlight w:val="none"/>
                <w:u w:val="none"/>
              </w:rPr>
            </w:pPr>
          </w:p>
        </w:tc>
      </w:tr>
      <w:tr w14:paraId="57A4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91" w:type="dxa"/>
            <w:tcBorders>
              <w:top w:val="nil"/>
              <w:left w:val="single" w:color="000000" w:sz="4" w:space="0"/>
              <w:bottom w:val="nil"/>
              <w:right w:val="nil"/>
            </w:tcBorders>
            <w:shd w:val="clear" w:color="auto" w:fill="auto"/>
            <w:noWrap/>
            <w:vAlign w:val="center"/>
          </w:tcPr>
          <w:p w14:paraId="19EC8B91">
            <w:pPr>
              <w:rPr>
                <w:rFonts w:hint="default" w:ascii="Times New Roman" w:hAnsi="Times New Roman" w:eastAsia="仿宋_GB2312" w:cs="Times New Roman"/>
                <w:i w:val="0"/>
                <w:iCs w:val="0"/>
                <w:color w:val="000000"/>
                <w:sz w:val="24"/>
                <w:szCs w:val="24"/>
                <w:highlight w:val="none"/>
                <w:u w:val="none"/>
              </w:rPr>
            </w:pPr>
          </w:p>
        </w:tc>
        <w:tc>
          <w:tcPr>
            <w:tcW w:w="2394" w:type="dxa"/>
            <w:tcBorders>
              <w:top w:val="nil"/>
              <w:left w:val="nil"/>
              <w:bottom w:val="nil"/>
              <w:right w:val="nil"/>
            </w:tcBorders>
            <w:shd w:val="clear" w:color="auto" w:fill="auto"/>
            <w:noWrap/>
            <w:vAlign w:val="center"/>
          </w:tcPr>
          <w:p w14:paraId="6FCAC44A">
            <w:pPr>
              <w:rPr>
                <w:rFonts w:hint="default" w:ascii="Times New Roman" w:hAnsi="Times New Roman" w:eastAsia="仿宋_GB2312" w:cs="Times New Roman"/>
                <w:i w:val="0"/>
                <w:iCs w:val="0"/>
                <w:color w:val="000000"/>
                <w:sz w:val="24"/>
                <w:szCs w:val="24"/>
                <w:highlight w:val="none"/>
                <w:u w:val="none"/>
              </w:rPr>
            </w:pPr>
          </w:p>
        </w:tc>
        <w:tc>
          <w:tcPr>
            <w:tcW w:w="2067" w:type="dxa"/>
            <w:tcBorders>
              <w:top w:val="nil"/>
              <w:left w:val="nil"/>
              <w:bottom w:val="nil"/>
              <w:right w:val="nil"/>
            </w:tcBorders>
            <w:shd w:val="clear" w:color="auto" w:fill="auto"/>
            <w:noWrap/>
            <w:vAlign w:val="center"/>
          </w:tcPr>
          <w:p w14:paraId="66B06393">
            <w:pPr>
              <w:rPr>
                <w:rFonts w:hint="default" w:ascii="Times New Roman" w:hAnsi="Times New Roman" w:eastAsia="仿宋_GB2312" w:cs="Times New Roman"/>
                <w:i w:val="0"/>
                <w:iCs w:val="0"/>
                <w:color w:val="000000"/>
                <w:sz w:val="24"/>
                <w:szCs w:val="24"/>
                <w:highlight w:val="none"/>
                <w:u w:val="none"/>
              </w:rPr>
            </w:pPr>
          </w:p>
        </w:tc>
        <w:tc>
          <w:tcPr>
            <w:tcW w:w="1322" w:type="dxa"/>
            <w:tcBorders>
              <w:top w:val="nil"/>
              <w:left w:val="nil"/>
              <w:bottom w:val="nil"/>
              <w:right w:val="nil"/>
            </w:tcBorders>
            <w:shd w:val="clear" w:color="auto" w:fill="auto"/>
            <w:noWrap/>
            <w:vAlign w:val="center"/>
          </w:tcPr>
          <w:p w14:paraId="657627E4">
            <w:pPr>
              <w:rPr>
                <w:rFonts w:hint="default" w:ascii="Times New Roman" w:hAnsi="Times New Roman" w:eastAsia="仿宋_GB2312" w:cs="Times New Roman"/>
                <w:i w:val="0"/>
                <w:iCs w:val="0"/>
                <w:color w:val="000000"/>
                <w:sz w:val="24"/>
                <w:szCs w:val="24"/>
                <w:highlight w:val="none"/>
                <w:u w:val="none"/>
              </w:rPr>
            </w:pPr>
          </w:p>
        </w:tc>
        <w:tc>
          <w:tcPr>
            <w:tcW w:w="1178" w:type="dxa"/>
            <w:tcBorders>
              <w:top w:val="nil"/>
              <w:left w:val="nil"/>
              <w:bottom w:val="nil"/>
              <w:right w:val="nil"/>
            </w:tcBorders>
            <w:shd w:val="clear" w:color="auto" w:fill="auto"/>
            <w:noWrap/>
            <w:vAlign w:val="center"/>
          </w:tcPr>
          <w:p w14:paraId="7D14A44F">
            <w:pPr>
              <w:rPr>
                <w:rFonts w:hint="default" w:ascii="Times New Roman" w:hAnsi="Times New Roman" w:eastAsia="仿宋_GB2312" w:cs="Times New Roman"/>
                <w:i w:val="0"/>
                <w:iCs w:val="0"/>
                <w:color w:val="000000"/>
                <w:sz w:val="24"/>
                <w:szCs w:val="24"/>
                <w:highlight w:val="none"/>
                <w:u w:val="none"/>
              </w:rPr>
            </w:pPr>
          </w:p>
        </w:tc>
        <w:tc>
          <w:tcPr>
            <w:tcW w:w="652" w:type="dxa"/>
            <w:tcBorders>
              <w:top w:val="nil"/>
              <w:left w:val="nil"/>
              <w:bottom w:val="nil"/>
              <w:right w:val="nil"/>
            </w:tcBorders>
            <w:shd w:val="clear" w:color="auto" w:fill="auto"/>
            <w:noWrap/>
            <w:vAlign w:val="center"/>
          </w:tcPr>
          <w:p w14:paraId="11C9D866">
            <w:pPr>
              <w:rPr>
                <w:rFonts w:hint="default" w:ascii="Times New Roman" w:hAnsi="Times New Roman" w:eastAsia="仿宋_GB2312" w:cs="Times New Roman"/>
                <w:i w:val="0"/>
                <w:iCs w:val="0"/>
                <w:color w:val="000000"/>
                <w:sz w:val="24"/>
                <w:szCs w:val="24"/>
                <w:highlight w:val="none"/>
                <w:u w:val="none"/>
              </w:rPr>
            </w:pPr>
          </w:p>
        </w:tc>
        <w:tc>
          <w:tcPr>
            <w:tcW w:w="760" w:type="dxa"/>
            <w:tcBorders>
              <w:top w:val="nil"/>
              <w:left w:val="nil"/>
              <w:bottom w:val="nil"/>
              <w:right w:val="single" w:color="000000" w:sz="4" w:space="0"/>
            </w:tcBorders>
            <w:shd w:val="clear" w:color="auto" w:fill="auto"/>
            <w:noWrap/>
            <w:vAlign w:val="center"/>
          </w:tcPr>
          <w:p w14:paraId="3BD4C034">
            <w:pPr>
              <w:rPr>
                <w:rFonts w:hint="default" w:ascii="Times New Roman" w:hAnsi="Times New Roman" w:eastAsia="仿宋_GB2312" w:cs="Times New Roman"/>
                <w:i w:val="0"/>
                <w:iCs w:val="0"/>
                <w:color w:val="000000"/>
                <w:sz w:val="24"/>
                <w:szCs w:val="24"/>
                <w:highlight w:val="none"/>
                <w:u w:val="none"/>
              </w:rPr>
            </w:pPr>
          </w:p>
        </w:tc>
        <w:tc>
          <w:tcPr>
            <w:tcW w:w="1649" w:type="dxa"/>
            <w:tcBorders>
              <w:top w:val="nil"/>
              <w:left w:val="single" w:color="000000" w:sz="4" w:space="0"/>
              <w:bottom w:val="nil"/>
              <w:right w:val="nil"/>
            </w:tcBorders>
            <w:shd w:val="clear" w:color="auto" w:fill="auto"/>
            <w:noWrap/>
            <w:vAlign w:val="center"/>
          </w:tcPr>
          <w:p w14:paraId="7EF9D3BA">
            <w:pPr>
              <w:rPr>
                <w:rFonts w:hint="default" w:ascii="Times New Roman" w:hAnsi="Times New Roman" w:eastAsia="仿宋_GB2312" w:cs="Times New Roman"/>
                <w:i w:val="0"/>
                <w:iCs w:val="0"/>
                <w:color w:val="000000"/>
                <w:sz w:val="24"/>
                <w:szCs w:val="24"/>
                <w:highlight w:val="none"/>
                <w:u w:val="none"/>
              </w:rPr>
            </w:pPr>
          </w:p>
        </w:tc>
        <w:tc>
          <w:tcPr>
            <w:tcW w:w="1323" w:type="dxa"/>
            <w:gridSpan w:val="2"/>
            <w:tcBorders>
              <w:top w:val="nil"/>
              <w:left w:val="nil"/>
              <w:bottom w:val="nil"/>
              <w:right w:val="nil"/>
            </w:tcBorders>
            <w:shd w:val="clear" w:color="auto" w:fill="auto"/>
            <w:noWrap/>
            <w:vAlign w:val="center"/>
          </w:tcPr>
          <w:p w14:paraId="1168C170">
            <w:pPr>
              <w:rPr>
                <w:rFonts w:hint="default" w:ascii="Times New Roman" w:hAnsi="Times New Roman" w:eastAsia="仿宋_GB2312" w:cs="Times New Roman"/>
                <w:i w:val="0"/>
                <w:iCs w:val="0"/>
                <w:color w:val="000000"/>
                <w:sz w:val="24"/>
                <w:szCs w:val="24"/>
                <w:highlight w:val="none"/>
                <w:u w:val="none"/>
              </w:rPr>
            </w:pPr>
          </w:p>
        </w:tc>
        <w:tc>
          <w:tcPr>
            <w:tcW w:w="1090" w:type="dxa"/>
            <w:tcBorders>
              <w:top w:val="nil"/>
              <w:left w:val="nil"/>
              <w:bottom w:val="nil"/>
              <w:right w:val="nil"/>
            </w:tcBorders>
            <w:shd w:val="clear" w:color="auto" w:fill="auto"/>
            <w:noWrap/>
            <w:vAlign w:val="center"/>
          </w:tcPr>
          <w:p w14:paraId="261CF932">
            <w:pPr>
              <w:rPr>
                <w:rFonts w:hint="default" w:ascii="Times New Roman" w:hAnsi="Times New Roman" w:eastAsia="仿宋_GB2312" w:cs="Times New Roman"/>
                <w:i w:val="0"/>
                <w:iCs w:val="0"/>
                <w:color w:val="000000"/>
                <w:sz w:val="24"/>
                <w:szCs w:val="24"/>
                <w:highlight w:val="none"/>
                <w:u w:val="none"/>
              </w:rPr>
            </w:pPr>
          </w:p>
        </w:tc>
        <w:tc>
          <w:tcPr>
            <w:tcW w:w="1349" w:type="dxa"/>
            <w:gridSpan w:val="2"/>
            <w:tcBorders>
              <w:top w:val="nil"/>
              <w:left w:val="nil"/>
              <w:bottom w:val="nil"/>
              <w:right w:val="nil"/>
            </w:tcBorders>
            <w:shd w:val="clear" w:color="auto" w:fill="auto"/>
            <w:noWrap/>
            <w:vAlign w:val="center"/>
          </w:tcPr>
          <w:p w14:paraId="698DC7CF">
            <w:pPr>
              <w:rPr>
                <w:rFonts w:hint="default" w:ascii="Times New Roman" w:hAnsi="Times New Roman" w:eastAsia="仿宋_GB2312" w:cs="Times New Roman"/>
                <w:i w:val="0"/>
                <w:iCs w:val="0"/>
                <w:color w:val="000000"/>
                <w:sz w:val="24"/>
                <w:szCs w:val="24"/>
                <w:highlight w:val="none"/>
                <w:u w:val="none"/>
              </w:rPr>
            </w:pPr>
          </w:p>
        </w:tc>
        <w:tc>
          <w:tcPr>
            <w:tcW w:w="965" w:type="dxa"/>
            <w:tcBorders>
              <w:top w:val="nil"/>
              <w:left w:val="nil"/>
              <w:bottom w:val="nil"/>
              <w:right w:val="single" w:color="000000" w:sz="4" w:space="0"/>
            </w:tcBorders>
            <w:shd w:val="clear" w:color="auto" w:fill="auto"/>
            <w:noWrap/>
            <w:vAlign w:val="center"/>
          </w:tcPr>
          <w:p w14:paraId="3BD6C7CB">
            <w:pPr>
              <w:rPr>
                <w:rFonts w:hint="default" w:ascii="Times New Roman" w:hAnsi="Times New Roman" w:eastAsia="仿宋_GB2312" w:cs="Times New Roman"/>
                <w:i w:val="0"/>
                <w:iCs w:val="0"/>
                <w:color w:val="000000"/>
                <w:sz w:val="24"/>
                <w:szCs w:val="24"/>
                <w:highlight w:val="none"/>
                <w:u w:val="none"/>
              </w:rPr>
            </w:pPr>
          </w:p>
        </w:tc>
      </w:tr>
      <w:tr w14:paraId="25E4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1" w:type="dxa"/>
            <w:tcBorders>
              <w:top w:val="nil"/>
              <w:left w:val="single" w:color="000000" w:sz="4" w:space="0"/>
              <w:bottom w:val="nil"/>
              <w:right w:val="nil"/>
            </w:tcBorders>
            <w:shd w:val="clear" w:color="auto" w:fill="auto"/>
            <w:noWrap/>
            <w:vAlign w:val="center"/>
          </w:tcPr>
          <w:p w14:paraId="79BA15F5">
            <w:pPr>
              <w:rPr>
                <w:rFonts w:hint="default" w:ascii="Times New Roman" w:hAnsi="Times New Roman" w:eastAsia="仿宋_GB2312" w:cs="Times New Roman"/>
                <w:i w:val="0"/>
                <w:iCs w:val="0"/>
                <w:color w:val="000000"/>
                <w:sz w:val="24"/>
                <w:szCs w:val="24"/>
                <w:highlight w:val="none"/>
                <w:u w:val="none"/>
              </w:rPr>
            </w:pPr>
          </w:p>
        </w:tc>
        <w:tc>
          <w:tcPr>
            <w:tcW w:w="2394" w:type="dxa"/>
            <w:tcBorders>
              <w:top w:val="nil"/>
              <w:left w:val="nil"/>
              <w:bottom w:val="nil"/>
              <w:right w:val="nil"/>
            </w:tcBorders>
            <w:shd w:val="clear" w:color="auto" w:fill="auto"/>
            <w:noWrap/>
            <w:vAlign w:val="center"/>
          </w:tcPr>
          <w:p w14:paraId="349792FE">
            <w:pPr>
              <w:rPr>
                <w:rFonts w:hint="default" w:ascii="Times New Roman" w:hAnsi="Times New Roman" w:eastAsia="仿宋_GB2312" w:cs="Times New Roman"/>
                <w:i w:val="0"/>
                <w:iCs w:val="0"/>
                <w:color w:val="000000"/>
                <w:sz w:val="24"/>
                <w:szCs w:val="24"/>
                <w:highlight w:val="none"/>
                <w:u w:val="none"/>
              </w:rPr>
            </w:pPr>
          </w:p>
        </w:tc>
        <w:tc>
          <w:tcPr>
            <w:tcW w:w="2067" w:type="dxa"/>
            <w:tcBorders>
              <w:top w:val="nil"/>
              <w:left w:val="nil"/>
              <w:bottom w:val="nil"/>
              <w:right w:val="nil"/>
            </w:tcBorders>
            <w:shd w:val="clear" w:color="auto" w:fill="auto"/>
            <w:noWrap/>
            <w:vAlign w:val="center"/>
          </w:tcPr>
          <w:p w14:paraId="54A80348">
            <w:pPr>
              <w:rPr>
                <w:rFonts w:hint="default" w:ascii="Times New Roman" w:hAnsi="Times New Roman" w:eastAsia="仿宋_GB2312" w:cs="Times New Roman"/>
                <w:i w:val="0"/>
                <w:iCs w:val="0"/>
                <w:color w:val="000000"/>
                <w:sz w:val="24"/>
                <w:szCs w:val="24"/>
                <w:highlight w:val="none"/>
                <w:u w:val="none"/>
              </w:rPr>
            </w:pPr>
          </w:p>
        </w:tc>
        <w:tc>
          <w:tcPr>
            <w:tcW w:w="1322" w:type="dxa"/>
            <w:tcBorders>
              <w:top w:val="nil"/>
              <w:left w:val="nil"/>
              <w:bottom w:val="nil"/>
              <w:right w:val="nil"/>
            </w:tcBorders>
            <w:shd w:val="clear" w:color="auto" w:fill="auto"/>
            <w:noWrap/>
            <w:vAlign w:val="center"/>
          </w:tcPr>
          <w:p w14:paraId="652924C8">
            <w:pPr>
              <w:rPr>
                <w:rFonts w:hint="default" w:ascii="Times New Roman" w:hAnsi="Times New Roman" w:eastAsia="仿宋_GB2312" w:cs="Times New Roman"/>
                <w:i w:val="0"/>
                <w:iCs w:val="0"/>
                <w:color w:val="000000"/>
                <w:sz w:val="24"/>
                <w:szCs w:val="24"/>
                <w:highlight w:val="none"/>
                <w:u w:val="none"/>
              </w:rPr>
            </w:pPr>
          </w:p>
        </w:tc>
        <w:tc>
          <w:tcPr>
            <w:tcW w:w="1178" w:type="dxa"/>
            <w:tcBorders>
              <w:top w:val="nil"/>
              <w:left w:val="nil"/>
              <w:bottom w:val="nil"/>
              <w:right w:val="nil"/>
            </w:tcBorders>
            <w:shd w:val="clear" w:color="auto" w:fill="auto"/>
            <w:noWrap/>
            <w:vAlign w:val="center"/>
          </w:tcPr>
          <w:p w14:paraId="7CDB9925">
            <w:pPr>
              <w:rPr>
                <w:rFonts w:hint="default" w:ascii="Times New Roman" w:hAnsi="Times New Roman" w:eastAsia="仿宋_GB2312" w:cs="Times New Roman"/>
                <w:i w:val="0"/>
                <w:iCs w:val="0"/>
                <w:color w:val="000000"/>
                <w:sz w:val="24"/>
                <w:szCs w:val="24"/>
                <w:highlight w:val="none"/>
                <w:u w:val="none"/>
              </w:rPr>
            </w:pPr>
          </w:p>
        </w:tc>
        <w:tc>
          <w:tcPr>
            <w:tcW w:w="1412" w:type="dxa"/>
            <w:gridSpan w:val="2"/>
            <w:tcBorders>
              <w:top w:val="nil"/>
              <w:left w:val="nil"/>
              <w:bottom w:val="nil"/>
              <w:right w:val="single" w:color="000000" w:sz="4" w:space="0"/>
            </w:tcBorders>
            <w:shd w:val="clear" w:color="auto" w:fill="auto"/>
            <w:noWrap/>
            <w:vAlign w:val="center"/>
          </w:tcPr>
          <w:p w14:paraId="0CFEBA32">
            <w:pP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（盖章）</w:t>
            </w:r>
          </w:p>
        </w:tc>
        <w:tc>
          <w:tcPr>
            <w:tcW w:w="1649" w:type="dxa"/>
            <w:tcBorders>
              <w:top w:val="nil"/>
              <w:left w:val="single" w:color="000000" w:sz="4" w:space="0"/>
              <w:bottom w:val="nil"/>
              <w:right w:val="nil"/>
            </w:tcBorders>
            <w:shd w:val="clear" w:color="auto" w:fill="auto"/>
            <w:noWrap/>
            <w:vAlign w:val="center"/>
          </w:tcPr>
          <w:p w14:paraId="5A466CF6">
            <w:pPr>
              <w:rPr>
                <w:rFonts w:hint="default" w:ascii="Times New Roman" w:hAnsi="Times New Roman" w:eastAsia="仿宋_GB2312" w:cs="Times New Roman"/>
                <w:i w:val="0"/>
                <w:iCs w:val="0"/>
                <w:color w:val="000000"/>
                <w:sz w:val="24"/>
                <w:szCs w:val="24"/>
                <w:highlight w:val="none"/>
                <w:u w:val="none"/>
              </w:rPr>
            </w:pPr>
          </w:p>
        </w:tc>
        <w:tc>
          <w:tcPr>
            <w:tcW w:w="1323" w:type="dxa"/>
            <w:gridSpan w:val="2"/>
            <w:tcBorders>
              <w:top w:val="nil"/>
              <w:left w:val="nil"/>
              <w:bottom w:val="nil"/>
              <w:right w:val="nil"/>
            </w:tcBorders>
            <w:shd w:val="clear" w:color="auto" w:fill="auto"/>
            <w:noWrap/>
            <w:vAlign w:val="center"/>
          </w:tcPr>
          <w:p w14:paraId="542539C1">
            <w:pPr>
              <w:rPr>
                <w:rFonts w:hint="default" w:ascii="Times New Roman" w:hAnsi="Times New Roman" w:eastAsia="仿宋_GB2312" w:cs="Times New Roman"/>
                <w:i w:val="0"/>
                <w:iCs w:val="0"/>
                <w:color w:val="000000"/>
                <w:sz w:val="24"/>
                <w:szCs w:val="24"/>
                <w:highlight w:val="none"/>
                <w:u w:val="none"/>
              </w:rPr>
            </w:pPr>
          </w:p>
        </w:tc>
        <w:tc>
          <w:tcPr>
            <w:tcW w:w="1090" w:type="dxa"/>
            <w:tcBorders>
              <w:top w:val="nil"/>
              <w:left w:val="nil"/>
              <w:bottom w:val="nil"/>
              <w:right w:val="nil"/>
            </w:tcBorders>
            <w:shd w:val="clear" w:color="auto" w:fill="auto"/>
            <w:noWrap/>
            <w:vAlign w:val="center"/>
          </w:tcPr>
          <w:p w14:paraId="227EC487">
            <w:pPr>
              <w:rPr>
                <w:rFonts w:hint="default" w:ascii="Times New Roman" w:hAnsi="Times New Roman" w:eastAsia="仿宋_GB2312" w:cs="Times New Roman"/>
                <w:i w:val="0"/>
                <w:iCs w:val="0"/>
                <w:color w:val="000000"/>
                <w:sz w:val="24"/>
                <w:szCs w:val="24"/>
                <w:highlight w:val="none"/>
                <w:u w:val="none"/>
              </w:rPr>
            </w:pPr>
          </w:p>
        </w:tc>
        <w:tc>
          <w:tcPr>
            <w:tcW w:w="1349" w:type="dxa"/>
            <w:gridSpan w:val="2"/>
            <w:tcBorders>
              <w:top w:val="nil"/>
              <w:left w:val="nil"/>
              <w:bottom w:val="nil"/>
              <w:right w:val="nil"/>
            </w:tcBorders>
            <w:shd w:val="clear" w:color="auto" w:fill="auto"/>
            <w:noWrap/>
            <w:vAlign w:val="center"/>
          </w:tcPr>
          <w:p w14:paraId="0845B4A1">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（盖章）</w:t>
            </w:r>
          </w:p>
        </w:tc>
        <w:tc>
          <w:tcPr>
            <w:tcW w:w="965" w:type="dxa"/>
            <w:tcBorders>
              <w:top w:val="nil"/>
              <w:left w:val="nil"/>
              <w:bottom w:val="nil"/>
              <w:right w:val="single" w:color="000000" w:sz="4" w:space="0"/>
            </w:tcBorders>
            <w:shd w:val="clear" w:color="auto" w:fill="auto"/>
            <w:noWrap/>
            <w:vAlign w:val="center"/>
          </w:tcPr>
          <w:p w14:paraId="5390D03B">
            <w:pPr>
              <w:rPr>
                <w:rFonts w:hint="default" w:ascii="Times New Roman" w:hAnsi="Times New Roman" w:eastAsia="仿宋_GB2312" w:cs="Times New Roman"/>
                <w:i w:val="0"/>
                <w:iCs w:val="0"/>
                <w:color w:val="000000"/>
                <w:sz w:val="24"/>
                <w:szCs w:val="24"/>
                <w:highlight w:val="none"/>
                <w:u w:val="none"/>
              </w:rPr>
            </w:pPr>
          </w:p>
        </w:tc>
      </w:tr>
      <w:tr w14:paraId="6B9A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85" w:type="dxa"/>
            <w:gridSpan w:val="2"/>
            <w:tcBorders>
              <w:top w:val="nil"/>
              <w:left w:val="single" w:color="000000" w:sz="4" w:space="0"/>
              <w:bottom w:val="nil"/>
              <w:right w:val="nil"/>
            </w:tcBorders>
            <w:shd w:val="clear" w:color="auto" w:fill="auto"/>
            <w:noWrap/>
            <w:vAlign w:val="center"/>
          </w:tcPr>
          <w:p w14:paraId="4AB9D081">
            <w:pPr>
              <w:rPr>
                <w:rFonts w:hint="default" w:ascii="Times New Roman" w:hAnsi="Times New Roman" w:eastAsia="仿宋_GB2312" w:cs="Times New Roman"/>
                <w:i w:val="0"/>
                <w:iCs w:val="0"/>
                <w:color w:val="000000"/>
                <w:sz w:val="24"/>
                <w:szCs w:val="24"/>
                <w:highlight w:val="none"/>
                <w:u w:val="none"/>
              </w:rPr>
            </w:pPr>
          </w:p>
        </w:tc>
        <w:tc>
          <w:tcPr>
            <w:tcW w:w="2067" w:type="dxa"/>
            <w:tcBorders>
              <w:top w:val="nil"/>
              <w:left w:val="nil"/>
              <w:bottom w:val="nil"/>
              <w:right w:val="nil"/>
            </w:tcBorders>
            <w:shd w:val="clear" w:color="auto" w:fill="auto"/>
            <w:noWrap/>
            <w:vAlign w:val="center"/>
          </w:tcPr>
          <w:p w14:paraId="40CDFFAF">
            <w:pPr>
              <w:rPr>
                <w:rFonts w:hint="default" w:ascii="Times New Roman" w:hAnsi="Times New Roman" w:eastAsia="仿宋_GB2312" w:cs="Times New Roman"/>
                <w:i w:val="0"/>
                <w:iCs w:val="0"/>
                <w:color w:val="000000"/>
                <w:sz w:val="24"/>
                <w:szCs w:val="24"/>
                <w:highlight w:val="none"/>
                <w:u w:val="none"/>
              </w:rPr>
            </w:pPr>
          </w:p>
        </w:tc>
        <w:tc>
          <w:tcPr>
            <w:tcW w:w="1322" w:type="dxa"/>
            <w:tcBorders>
              <w:top w:val="nil"/>
              <w:left w:val="nil"/>
              <w:bottom w:val="nil"/>
              <w:right w:val="nil"/>
            </w:tcBorders>
            <w:shd w:val="clear" w:color="auto" w:fill="auto"/>
            <w:noWrap/>
            <w:vAlign w:val="center"/>
          </w:tcPr>
          <w:p w14:paraId="525321FA">
            <w:pPr>
              <w:rPr>
                <w:rFonts w:hint="default" w:ascii="Times New Roman" w:hAnsi="Times New Roman" w:eastAsia="仿宋_GB2312" w:cs="Times New Roman"/>
                <w:i w:val="0"/>
                <w:iCs w:val="0"/>
                <w:color w:val="000000"/>
                <w:sz w:val="24"/>
                <w:szCs w:val="24"/>
                <w:highlight w:val="none"/>
                <w:u w:val="none"/>
              </w:rPr>
            </w:pPr>
          </w:p>
        </w:tc>
        <w:tc>
          <w:tcPr>
            <w:tcW w:w="1178" w:type="dxa"/>
            <w:tcBorders>
              <w:top w:val="nil"/>
              <w:left w:val="nil"/>
              <w:bottom w:val="nil"/>
              <w:right w:val="nil"/>
            </w:tcBorders>
            <w:shd w:val="clear" w:color="auto" w:fill="auto"/>
            <w:noWrap/>
            <w:vAlign w:val="center"/>
          </w:tcPr>
          <w:p w14:paraId="6CC1DEEB">
            <w:pPr>
              <w:rPr>
                <w:rFonts w:hint="default" w:ascii="Times New Roman" w:hAnsi="Times New Roman" w:eastAsia="仿宋_GB2312" w:cs="Times New Roman"/>
                <w:i w:val="0"/>
                <w:iCs w:val="0"/>
                <w:color w:val="000000"/>
                <w:sz w:val="24"/>
                <w:szCs w:val="24"/>
                <w:highlight w:val="none"/>
                <w:u w:val="none"/>
              </w:rPr>
            </w:pPr>
          </w:p>
        </w:tc>
        <w:tc>
          <w:tcPr>
            <w:tcW w:w="652" w:type="dxa"/>
            <w:tcBorders>
              <w:top w:val="nil"/>
              <w:left w:val="nil"/>
              <w:bottom w:val="nil"/>
              <w:right w:val="nil"/>
            </w:tcBorders>
            <w:shd w:val="clear" w:color="auto" w:fill="auto"/>
            <w:noWrap/>
            <w:vAlign w:val="center"/>
          </w:tcPr>
          <w:p w14:paraId="36DAB58F">
            <w:pPr>
              <w:rPr>
                <w:rFonts w:hint="default" w:ascii="Times New Roman" w:hAnsi="Times New Roman" w:eastAsia="仿宋_GB2312" w:cs="Times New Roman"/>
                <w:i w:val="0"/>
                <w:iCs w:val="0"/>
                <w:color w:val="000000"/>
                <w:sz w:val="24"/>
                <w:szCs w:val="24"/>
                <w:highlight w:val="none"/>
                <w:u w:val="none"/>
              </w:rPr>
            </w:pPr>
          </w:p>
        </w:tc>
        <w:tc>
          <w:tcPr>
            <w:tcW w:w="760" w:type="dxa"/>
            <w:tcBorders>
              <w:top w:val="nil"/>
              <w:left w:val="nil"/>
              <w:bottom w:val="nil"/>
              <w:right w:val="single" w:color="000000" w:sz="4" w:space="0"/>
            </w:tcBorders>
            <w:shd w:val="clear" w:color="auto" w:fill="auto"/>
            <w:noWrap/>
            <w:vAlign w:val="center"/>
          </w:tcPr>
          <w:p w14:paraId="53A0E55C">
            <w:pPr>
              <w:rPr>
                <w:rFonts w:hint="default" w:ascii="Times New Roman" w:hAnsi="Times New Roman" w:eastAsia="仿宋_GB2312" w:cs="Times New Roman"/>
                <w:i w:val="0"/>
                <w:iCs w:val="0"/>
                <w:color w:val="000000"/>
                <w:sz w:val="24"/>
                <w:szCs w:val="24"/>
                <w:highlight w:val="none"/>
                <w:u w:val="none"/>
              </w:rPr>
            </w:pPr>
          </w:p>
        </w:tc>
        <w:tc>
          <w:tcPr>
            <w:tcW w:w="1649" w:type="dxa"/>
            <w:tcBorders>
              <w:top w:val="nil"/>
              <w:left w:val="single" w:color="000000" w:sz="4" w:space="0"/>
              <w:bottom w:val="nil"/>
              <w:right w:val="nil"/>
            </w:tcBorders>
            <w:shd w:val="clear" w:color="auto" w:fill="auto"/>
            <w:noWrap/>
            <w:vAlign w:val="center"/>
          </w:tcPr>
          <w:p w14:paraId="7C26E372">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highlight w:val="none"/>
                <w:u w:val="none"/>
              </w:rPr>
            </w:pPr>
          </w:p>
        </w:tc>
        <w:tc>
          <w:tcPr>
            <w:tcW w:w="1323" w:type="dxa"/>
            <w:gridSpan w:val="2"/>
            <w:tcBorders>
              <w:top w:val="nil"/>
              <w:left w:val="nil"/>
              <w:bottom w:val="nil"/>
              <w:right w:val="nil"/>
            </w:tcBorders>
            <w:shd w:val="clear" w:color="auto" w:fill="auto"/>
            <w:noWrap/>
            <w:vAlign w:val="center"/>
          </w:tcPr>
          <w:p w14:paraId="60574D7A">
            <w:pPr>
              <w:rPr>
                <w:rFonts w:hint="default" w:ascii="Times New Roman" w:hAnsi="Times New Roman" w:eastAsia="仿宋_GB2312" w:cs="Times New Roman"/>
                <w:i w:val="0"/>
                <w:iCs w:val="0"/>
                <w:color w:val="000000"/>
                <w:sz w:val="24"/>
                <w:szCs w:val="24"/>
                <w:highlight w:val="none"/>
                <w:u w:val="none"/>
              </w:rPr>
            </w:pPr>
          </w:p>
        </w:tc>
        <w:tc>
          <w:tcPr>
            <w:tcW w:w="1090" w:type="dxa"/>
            <w:tcBorders>
              <w:top w:val="nil"/>
              <w:left w:val="nil"/>
              <w:bottom w:val="nil"/>
              <w:right w:val="nil"/>
            </w:tcBorders>
            <w:shd w:val="clear" w:color="auto" w:fill="auto"/>
            <w:noWrap/>
            <w:vAlign w:val="center"/>
          </w:tcPr>
          <w:p w14:paraId="5809504B">
            <w:pPr>
              <w:rPr>
                <w:rFonts w:hint="default" w:ascii="Times New Roman" w:hAnsi="Times New Roman" w:eastAsia="仿宋_GB2312" w:cs="Times New Roman"/>
                <w:i w:val="0"/>
                <w:iCs w:val="0"/>
                <w:color w:val="000000"/>
                <w:sz w:val="24"/>
                <w:szCs w:val="24"/>
                <w:highlight w:val="none"/>
                <w:u w:val="none"/>
              </w:rPr>
            </w:pPr>
          </w:p>
        </w:tc>
        <w:tc>
          <w:tcPr>
            <w:tcW w:w="1349" w:type="dxa"/>
            <w:gridSpan w:val="2"/>
            <w:tcBorders>
              <w:top w:val="nil"/>
              <w:left w:val="nil"/>
              <w:bottom w:val="nil"/>
              <w:right w:val="nil"/>
            </w:tcBorders>
            <w:shd w:val="clear" w:color="auto" w:fill="auto"/>
            <w:noWrap/>
            <w:vAlign w:val="center"/>
          </w:tcPr>
          <w:p w14:paraId="19E8612D">
            <w:pPr>
              <w:rPr>
                <w:rFonts w:hint="default" w:ascii="Times New Roman" w:hAnsi="Times New Roman" w:eastAsia="仿宋_GB2312" w:cs="Times New Roman"/>
                <w:i w:val="0"/>
                <w:iCs w:val="0"/>
                <w:color w:val="000000"/>
                <w:sz w:val="24"/>
                <w:szCs w:val="24"/>
                <w:highlight w:val="none"/>
                <w:u w:val="none"/>
              </w:rPr>
            </w:pPr>
          </w:p>
        </w:tc>
        <w:tc>
          <w:tcPr>
            <w:tcW w:w="965" w:type="dxa"/>
            <w:tcBorders>
              <w:top w:val="nil"/>
              <w:left w:val="nil"/>
              <w:bottom w:val="nil"/>
              <w:right w:val="single" w:color="000000" w:sz="4" w:space="0"/>
            </w:tcBorders>
            <w:shd w:val="clear" w:color="auto" w:fill="auto"/>
            <w:noWrap/>
            <w:vAlign w:val="center"/>
          </w:tcPr>
          <w:p w14:paraId="14B03ACC">
            <w:pPr>
              <w:rPr>
                <w:rFonts w:hint="default" w:ascii="Times New Roman" w:hAnsi="Times New Roman" w:eastAsia="仿宋_GB2312" w:cs="Times New Roman"/>
                <w:i w:val="0"/>
                <w:iCs w:val="0"/>
                <w:color w:val="000000"/>
                <w:sz w:val="24"/>
                <w:szCs w:val="24"/>
                <w:highlight w:val="none"/>
                <w:u w:val="none"/>
              </w:rPr>
            </w:pPr>
          </w:p>
        </w:tc>
      </w:tr>
      <w:tr w14:paraId="18895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1" w:type="dxa"/>
            <w:tcBorders>
              <w:top w:val="nil"/>
              <w:left w:val="single" w:color="000000" w:sz="4" w:space="0"/>
              <w:bottom w:val="nil"/>
              <w:right w:val="nil"/>
            </w:tcBorders>
            <w:shd w:val="clear" w:color="auto" w:fill="auto"/>
            <w:noWrap/>
            <w:vAlign w:val="center"/>
          </w:tcPr>
          <w:p w14:paraId="79F0E58B">
            <w:pPr>
              <w:rPr>
                <w:rFonts w:hint="default" w:ascii="Times New Roman" w:hAnsi="Times New Roman" w:eastAsia="仿宋_GB2312" w:cs="Times New Roman"/>
                <w:i w:val="0"/>
                <w:iCs w:val="0"/>
                <w:color w:val="000000"/>
                <w:sz w:val="24"/>
                <w:szCs w:val="24"/>
                <w:highlight w:val="none"/>
                <w:u w:val="none"/>
              </w:rPr>
            </w:pPr>
          </w:p>
        </w:tc>
        <w:tc>
          <w:tcPr>
            <w:tcW w:w="2394" w:type="dxa"/>
            <w:tcBorders>
              <w:top w:val="nil"/>
              <w:left w:val="nil"/>
              <w:bottom w:val="nil"/>
              <w:right w:val="nil"/>
            </w:tcBorders>
            <w:shd w:val="clear" w:color="auto" w:fill="auto"/>
            <w:noWrap/>
            <w:vAlign w:val="center"/>
          </w:tcPr>
          <w:p w14:paraId="6D3C71B9">
            <w:pPr>
              <w:rPr>
                <w:rFonts w:hint="default" w:ascii="Times New Roman" w:hAnsi="Times New Roman" w:eastAsia="仿宋_GB2312" w:cs="Times New Roman"/>
                <w:i w:val="0"/>
                <w:iCs w:val="0"/>
                <w:color w:val="000000"/>
                <w:sz w:val="24"/>
                <w:szCs w:val="24"/>
                <w:highlight w:val="none"/>
                <w:u w:val="none"/>
              </w:rPr>
            </w:pPr>
          </w:p>
        </w:tc>
        <w:tc>
          <w:tcPr>
            <w:tcW w:w="2067" w:type="dxa"/>
            <w:tcBorders>
              <w:top w:val="nil"/>
              <w:left w:val="nil"/>
              <w:bottom w:val="nil"/>
              <w:right w:val="nil"/>
            </w:tcBorders>
            <w:shd w:val="clear" w:color="auto" w:fill="auto"/>
            <w:noWrap/>
            <w:vAlign w:val="center"/>
          </w:tcPr>
          <w:p w14:paraId="7E260BA1">
            <w:pPr>
              <w:rPr>
                <w:rFonts w:hint="default" w:ascii="Times New Roman" w:hAnsi="Times New Roman" w:eastAsia="仿宋_GB2312" w:cs="Times New Roman"/>
                <w:i w:val="0"/>
                <w:iCs w:val="0"/>
                <w:color w:val="000000"/>
                <w:sz w:val="24"/>
                <w:szCs w:val="24"/>
                <w:highlight w:val="none"/>
                <w:u w:val="none"/>
              </w:rPr>
            </w:pPr>
          </w:p>
        </w:tc>
        <w:tc>
          <w:tcPr>
            <w:tcW w:w="1322" w:type="dxa"/>
            <w:tcBorders>
              <w:top w:val="nil"/>
              <w:left w:val="nil"/>
              <w:bottom w:val="nil"/>
              <w:right w:val="nil"/>
            </w:tcBorders>
            <w:shd w:val="clear" w:color="auto" w:fill="auto"/>
            <w:noWrap/>
            <w:vAlign w:val="center"/>
          </w:tcPr>
          <w:p w14:paraId="6D419CFD">
            <w:pPr>
              <w:rPr>
                <w:rFonts w:hint="default" w:ascii="Times New Roman" w:hAnsi="Times New Roman" w:eastAsia="仿宋_GB2312" w:cs="Times New Roman"/>
                <w:i w:val="0"/>
                <w:iCs w:val="0"/>
                <w:color w:val="000000"/>
                <w:sz w:val="24"/>
                <w:szCs w:val="24"/>
                <w:highlight w:val="none"/>
                <w:u w:val="none"/>
              </w:rPr>
            </w:pPr>
          </w:p>
        </w:tc>
        <w:tc>
          <w:tcPr>
            <w:tcW w:w="1830" w:type="dxa"/>
            <w:gridSpan w:val="2"/>
            <w:vMerge w:val="restart"/>
            <w:tcBorders>
              <w:top w:val="nil"/>
              <w:left w:val="nil"/>
              <w:right w:val="nil"/>
            </w:tcBorders>
            <w:shd w:val="clear" w:color="auto" w:fill="auto"/>
            <w:noWrap/>
            <w:vAlign w:val="center"/>
          </w:tcPr>
          <w:p w14:paraId="41B2AF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年   月   日 </w:t>
            </w:r>
          </w:p>
        </w:tc>
        <w:tc>
          <w:tcPr>
            <w:tcW w:w="760" w:type="dxa"/>
            <w:tcBorders>
              <w:top w:val="nil"/>
              <w:left w:val="nil"/>
              <w:bottom w:val="nil"/>
              <w:right w:val="single" w:color="000000" w:sz="4" w:space="0"/>
            </w:tcBorders>
            <w:shd w:val="clear" w:color="auto" w:fill="auto"/>
            <w:noWrap/>
            <w:vAlign w:val="center"/>
          </w:tcPr>
          <w:p w14:paraId="4689F3EB">
            <w:pPr>
              <w:rPr>
                <w:rFonts w:hint="default" w:ascii="Times New Roman" w:hAnsi="Times New Roman" w:eastAsia="仿宋_GB2312" w:cs="Times New Roman"/>
                <w:i w:val="0"/>
                <w:iCs w:val="0"/>
                <w:color w:val="000000"/>
                <w:sz w:val="24"/>
                <w:szCs w:val="24"/>
                <w:highlight w:val="none"/>
                <w:u w:val="none"/>
              </w:rPr>
            </w:pPr>
          </w:p>
        </w:tc>
        <w:tc>
          <w:tcPr>
            <w:tcW w:w="1649" w:type="dxa"/>
            <w:tcBorders>
              <w:top w:val="nil"/>
              <w:left w:val="single" w:color="000000" w:sz="4" w:space="0"/>
              <w:bottom w:val="nil"/>
              <w:right w:val="nil"/>
            </w:tcBorders>
            <w:shd w:val="clear" w:color="auto" w:fill="auto"/>
            <w:noWrap/>
            <w:vAlign w:val="center"/>
          </w:tcPr>
          <w:p w14:paraId="152B0C41">
            <w:pPr>
              <w:rPr>
                <w:rFonts w:hint="default" w:ascii="Times New Roman" w:hAnsi="Times New Roman" w:eastAsia="仿宋_GB2312" w:cs="Times New Roman"/>
                <w:i w:val="0"/>
                <w:iCs w:val="0"/>
                <w:color w:val="000000"/>
                <w:sz w:val="24"/>
                <w:szCs w:val="24"/>
                <w:highlight w:val="none"/>
                <w:u w:val="none"/>
              </w:rPr>
            </w:pPr>
          </w:p>
        </w:tc>
        <w:tc>
          <w:tcPr>
            <w:tcW w:w="1323" w:type="dxa"/>
            <w:gridSpan w:val="2"/>
            <w:tcBorders>
              <w:top w:val="nil"/>
              <w:left w:val="nil"/>
              <w:bottom w:val="nil"/>
              <w:right w:val="nil"/>
            </w:tcBorders>
            <w:shd w:val="clear" w:color="auto" w:fill="auto"/>
            <w:noWrap/>
            <w:vAlign w:val="center"/>
          </w:tcPr>
          <w:p w14:paraId="7EF7303E">
            <w:pPr>
              <w:rPr>
                <w:rFonts w:hint="default" w:ascii="Times New Roman" w:hAnsi="Times New Roman" w:eastAsia="仿宋_GB2312" w:cs="Times New Roman"/>
                <w:i w:val="0"/>
                <w:iCs w:val="0"/>
                <w:color w:val="000000"/>
                <w:sz w:val="24"/>
                <w:szCs w:val="24"/>
                <w:highlight w:val="none"/>
                <w:u w:val="none"/>
              </w:rPr>
            </w:pPr>
          </w:p>
        </w:tc>
        <w:tc>
          <w:tcPr>
            <w:tcW w:w="1090" w:type="dxa"/>
            <w:tcBorders>
              <w:top w:val="nil"/>
              <w:left w:val="nil"/>
              <w:bottom w:val="nil"/>
              <w:right w:val="nil"/>
            </w:tcBorders>
            <w:shd w:val="clear" w:color="auto" w:fill="auto"/>
            <w:noWrap/>
            <w:vAlign w:val="center"/>
          </w:tcPr>
          <w:p w14:paraId="344DFBA5">
            <w:pPr>
              <w:rPr>
                <w:rFonts w:hint="default" w:ascii="Times New Roman" w:hAnsi="Times New Roman" w:eastAsia="仿宋_GB2312" w:cs="Times New Roman"/>
                <w:i w:val="0"/>
                <w:iCs w:val="0"/>
                <w:color w:val="000000"/>
                <w:sz w:val="24"/>
                <w:szCs w:val="24"/>
                <w:highlight w:val="none"/>
                <w:u w:val="none"/>
              </w:rPr>
            </w:pPr>
          </w:p>
        </w:tc>
        <w:tc>
          <w:tcPr>
            <w:tcW w:w="2314" w:type="dxa"/>
            <w:gridSpan w:val="3"/>
            <w:vMerge w:val="restart"/>
            <w:tcBorders>
              <w:top w:val="nil"/>
              <w:left w:val="nil"/>
              <w:right w:val="single" w:color="000000" w:sz="4" w:space="0"/>
            </w:tcBorders>
            <w:shd w:val="clear" w:color="auto" w:fill="auto"/>
            <w:noWrap/>
            <w:vAlign w:val="center"/>
          </w:tcPr>
          <w:p w14:paraId="2C35223E">
            <w:pP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 xml:space="preserve">年   月   日 </w:t>
            </w:r>
          </w:p>
        </w:tc>
      </w:tr>
      <w:tr w14:paraId="5A2E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91" w:type="dxa"/>
            <w:tcBorders>
              <w:top w:val="nil"/>
              <w:left w:val="single" w:color="000000" w:sz="4" w:space="0"/>
              <w:bottom w:val="single" w:color="000000" w:sz="4" w:space="0"/>
              <w:right w:val="nil"/>
            </w:tcBorders>
            <w:shd w:val="clear" w:color="auto" w:fill="auto"/>
            <w:noWrap/>
            <w:vAlign w:val="center"/>
          </w:tcPr>
          <w:p w14:paraId="168EE39D">
            <w:pPr>
              <w:rPr>
                <w:rFonts w:hint="default" w:ascii="Times New Roman" w:hAnsi="Times New Roman" w:eastAsia="仿宋_GB2312" w:cs="Times New Roman"/>
                <w:i w:val="0"/>
                <w:iCs w:val="0"/>
                <w:color w:val="000000"/>
                <w:sz w:val="24"/>
                <w:szCs w:val="24"/>
                <w:highlight w:val="none"/>
                <w:u w:val="none"/>
              </w:rPr>
            </w:pPr>
          </w:p>
        </w:tc>
        <w:tc>
          <w:tcPr>
            <w:tcW w:w="2394" w:type="dxa"/>
            <w:tcBorders>
              <w:top w:val="nil"/>
              <w:left w:val="nil"/>
              <w:bottom w:val="single" w:color="000000" w:sz="4" w:space="0"/>
              <w:right w:val="nil"/>
            </w:tcBorders>
            <w:shd w:val="clear" w:color="auto" w:fill="auto"/>
            <w:noWrap/>
            <w:vAlign w:val="center"/>
          </w:tcPr>
          <w:p w14:paraId="796673F8">
            <w:pPr>
              <w:rPr>
                <w:rFonts w:hint="default" w:ascii="Times New Roman" w:hAnsi="Times New Roman" w:eastAsia="仿宋_GB2312" w:cs="Times New Roman"/>
                <w:i w:val="0"/>
                <w:iCs w:val="0"/>
                <w:color w:val="000000"/>
                <w:sz w:val="24"/>
                <w:szCs w:val="24"/>
                <w:highlight w:val="none"/>
                <w:u w:val="none"/>
              </w:rPr>
            </w:pPr>
          </w:p>
        </w:tc>
        <w:tc>
          <w:tcPr>
            <w:tcW w:w="2067" w:type="dxa"/>
            <w:tcBorders>
              <w:top w:val="nil"/>
              <w:left w:val="nil"/>
              <w:bottom w:val="single" w:color="000000" w:sz="4" w:space="0"/>
              <w:right w:val="nil"/>
            </w:tcBorders>
            <w:shd w:val="clear" w:color="auto" w:fill="auto"/>
            <w:noWrap/>
            <w:vAlign w:val="center"/>
          </w:tcPr>
          <w:p w14:paraId="0B1B3617">
            <w:pPr>
              <w:jc w:val="right"/>
              <w:rPr>
                <w:rFonts w:hint="default" w:ascii="Times New Roman" w:hAnsi="Times New Roman" w:eastAsia="仿宋_GB2312" w:cs="Times New Roman"/>
                <w:i w:val="0"/>
                <w:iCs w:val="0"/>
                <w:color w:val="000000"/>
                <w:sz w:val="24"/>
                <w:szCs w:val="24"/>
                <w:highlight w:val="none"/>
                <w:u w:val="none"/>
              </w:rPr>
            </w:pPr>
          </w:p>
        </w:tc>
        <w:tc>
          <w:tcPr>
            <w:tcW w:w="1322" w:type="dxa"/>
            <w:tcBorders>
              <w:top w:val="nil"/>
              <w:left w:val="nil"/>
              <w:bottom w:val="single" w:color="000000" w:sz="4" w:space="0"/>
              <w:right w:val="nil"/>
            </w:tcBorders>
            <w:shd w:val="clear" w:color="auto" w:fill="auto"/>
            <w:noWrap/>
            <w:vAlign w:val="center"/>
          </w:tcPr>
          <w:p w14:paraId="32FC1024">
            <w:pPr>
              <w:rPr>
                <w:rFonts w:hint="default" w:ascii="Times New Roman" w:hAnsi="Times New Roman" w:eastAsia="仿宋_GB2312" w:cs="Times New Roman"/>
                <w:i w:val="0"/>
                <w:iCs w:val="0"/>
                <w:color w:val="000000"/>
                <w:sz w:val="24"/>
                <w:szCs w:val="24"/>
                <w:highlight w:val="none"/>
                <w:u w:val="none"/>
              </w:rPr>
            </w:pPr>
          </w:p>
        </w:tc>
        <w:tc>
          <w:tcPr>
            <w:tcW w:w="1830" w:type="dxa"/>
            <w:gridSpan w:val="2"/>
            <w:vMerge w:val="continue"/>
            <w:tcBorders>
              <w:left w:val="nil"/>
              <w:bottom w:val="single" w:color="000000" w:sz="4" w:space="0"/>
              <w:right w:val="nil"/>
            </w:tcBorders>
            <w:shd w:val="clear" w:color="auto" w:fill="auto"/>
            <w:noWrap/>
            <w:vAlign w:val="center"/>
          </w:tcPr>
          <w:p w14:paraId="42BA08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p>
        </w:tc>
        <w:tc>
          <w:tcPr>
            <w:tcW w:w="760" w:type="dxa"/>
            <w:tcBorders>
              <w:top w:val="nil"/>
              <w:left w:val="nil"/>
              <w:bottom w:val="single" w:color="000000" w:sz="4" w:space="0"/>
              <w:right w:val="single" w:color="000000" w:sz="4" w:space="0"/>
            </w:tcBorders>
            <w:shd w:val="clear" w:color="auto" w:fill="auto"/>
            <w:noWrap/>
            <w:vAlign w:val="center"/>
          </w:tcPr>
          <w:p w14:paraId="6403215E">
            <w:pPr>
              <w:rPr>
                <w:rFonts w:hint="default" w:ascii="Times New Roman" w:hAnsi="Times New Roman" w:eastAsia="仿宋_GB2312" w:cs="Times New Roman"/>
                <w:i w:val="0"/>
                <w:iCs w:val="0"/>
                <w:color w:val="000000"/>
                <w:sz w:val="24"/>
                <w:szCs w:val="24"/>
                <w:highlight w:val="none"/>
                <w:u w:val="none"/>
              </w:rPr>
            </w:pPr>
          </w:p>
        </w:tc>
        <w:tc>
          <w:tcPr>
            <w:tcW w:w="1649" w:type="dxa"/>
            <w:tcBorders>
              <w:top w:val="nil"/>
              <w:left w:val="single" w:color="000000" w:sz="4" w:space="0"/>
              <w:bottom w:val="single" w:color="000000" w:sz="4" w:space="0"/>
              <w:right w:val="nil"/>
            </w:tcBorders>
            <w:shd w:val="clear" w:color="auto" w:fill="auto"/>
            <w:noWrap/>
            <w:vAlign w:val="center"/>
          </w:tcPr>
          <w:p w14:paraId="1F53465D">
            <w:pPr>
              <w:rPr>
                <w:rFonts w:hint="default" w:ascii="Times New Roman" w:hAnsi="Times New Roman" w:eastAsia="仿宋_GB2312" w:cs="Times New Roman"/>
                <w:i w:val="0"/>
                <w:iCs w:val="0"/>
                <w:color w:val="000000"/>
                <w:sz w:val="24"/>
                <w:szCs w:val="24"/>
                <w:highlight w:val="none"/>
                <w:u w:val="none"/>
              </w:rPr>
            </w:pPr>
          </w:p>
        </w:tc>
        <w:tc>
          <w:tcPr>
            <w:tcW w:w="1323" w:type="dxa"/>
            <w:gridSpan w:val="2"/>
            <w:tcBorders>
              <w:top w:val="nil"/>
              <w:left w:val="nil"/>
              <w:bottom w:val="single" w:color="000000" w:sz="4" w:space="0"/>
              <w:right w:val="nil"/>
            </w:tcBorders>
            <w:shd w:val="clear" w:color="auto" w:fill="auto"/>
            <w:noWrap/>
            <w:vAlign w:val="center"/>
          </w:tcPr>
          <w:p w14:paraId="39E3273A">
            <w:pPr>
              <w:rPr>
                <w:rFonts w:hint="default" w:ascii="Times New Roman" w:hAnsi="Times New Roman" w:eastAsia="仿宋_GB2312" w:cs="Times New Roman"/>
                <w:i w:val="0"/>
                <w:iCs w:val="0"/>
                <w:color w:val="000000"/>
                <w:sz w:val="24"/>
                <w:szCs w:val="24"/>
                <w:highlight w:val="none"/>
                <w:u w:val="none"/>
              </w:rPr>
            </w:pPr>
          </w:p>
        </w:tc>
        <w:tc>
          <w:tcPr>
            <w:tcW w:w="1090" w:type="dxa"/>
            <w:tcBorders>
              <w:top w:val="nil"/>
              <w:left w:val="nil"/>
              <w:bottom w:val="single" w:color="000000" w:sz="4" w:space="0"/>
              <w:right w:val="nil"/>
            </w:tcBorders>
            <w:shd w:val="clear" w:color="auto" w:fill="auto"/>
            <w:noWrap/>
            <w:vAlign w:val="center"/>
          </w:tcPr>
          <w:p w14:paraId="79C26645">
            <w:pPr>
              <w:rPr>
                <w:rFonts w:hint="default" w:ascii="Times New Roman" w:hAnsi="Times New Roman" w:eastAsia="仿宋_GB2312" w:cs="Times New Roman"/>
                <w:i w:val="0"/>
                <w:iCs w:val="0"/>
                <w:color w:val="000000"/>
                <w:sz w:val="24"/>
                <w:szCs w:val="24"/>
                <w:highlight w:val="none"/>
                <w:u w:val="none"/>
              </w:rPr>
            </w:pPr>
          </w:p>
        </w:tc>
        <w:tc>
          <w:tcPr>
            <w:tcW w:w="2314" w:type="dxa"/>
            <w:gridSpan w:val="3"/>
            <w:vMerge w:val="continue"/>
            <w:tcBorders>
              <w:left w:val="nil"/>
              <w:bottom w:val="single" w:color="000000" w:sz="4" w:space="0"/>
              <w:right w:val="single" w:color="000000" w:sz="4" w:space="0"/>
            </w:tcBorders>
            <w:shd w:val="clear" w:color="auto" w:fill="auto"/>
            <w:noWrap/>
            <w:vAlign w:val="center"/>
          </w:tcPr>
          <w:p w14:paraId="62A1213B">
            <w:pPr>
              <w:rPr>
                <w:rFonts w:hint="default" w:ascii="Times New Roman" w:hAnsi="Times New Roman" w:eastAsia="仿宋_GB2312" w:cs="Times New Roman"/>
                <w:i w:val="0"/>
                <w:iCs w:val="0"/>
                <w:color w:val="000000"/>
                <w:sz w:val="24"/>
                <w:szCs w:val="24"/>
                <w:highlight w:val="none"/>
                <w:u w:val="none"/>
              </w:rPr>
            </w:pPr>
          </w:p>
        </w:tc>
      </w:tr>
      <w:tr w14:paraId="2C32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40" w:type="dxa"/>
            <w:gridSpan w:val="14"/>
            <w:tcBorders>
              <w:top w:val="nil"/>
              <w:left w:val="nil"/>
              <w:bottom w:val="nil"/>
              <w:right w:val="nil"/>
            </w:tcBorders>
            <w:shd w:val="clear" w:color="auto" w:fill="auto"/>
            <w:noWrap/>
            <w:vAlign w:val="bottom"/>
          </w:tcPr>
          <w:p w14:paraId="5D03EB20">
            <w:pPr>
              <w:keepNext w:val="0"/>
              <w:keepLines w:val="0"/>
              <w:widowControl/>
              <w:suppressLineNumbers w:val="0"/>
              <w:jc w:val="left"/>
              <w:textAlignment w:val="bottom"/>
              <w:rPr>
                <w:rFonts w:hint="default" w:ascii="Times New Roman" w:hAnsi="Times New Roman" w:cs="Times New Roman" w:eastAsiaTheme="minorEastAsia"/>
                <w:i w:val="0"/>
                <w:iCs w:val="0"/>
                <w:color w:val="000000"/>
                <w:sz w:val="20"/>
                <w:szCs w:val="20"/>
                <w:highlight w:val="none"/>
                <w:u w:val="none"/>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说明：</w:t>
            </w:r>
          </w:p>
          <w:p w14:paraId="672D456B">
            <w:pPr>
              <w:rPr>
                <w:rFonts w:hint="default" w:ascii="Times New Roman" w:hAnsi="Times New Roman" w:cs="Times New Roman" w:eastAsiaTheme="minorEastAsia"/>
                <w:i w:val="0"/>
                <w:iCs w:val="0"/>
                <w:color w:val="000000"/>
                <w:sz w:val="20"/>
                <w:szCs w:val="20"/>
                <w:highlight w:val="none"/>
                <w:u w:val="none"/>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1、本表应作为《行政事业单位国有资产</w:t>
            </w:r>
            <w:r>
              <w:rPr>
                <w:rFonts w:hint="default" w:ascii="Times New Roman" w:hAnsi="Times New Roman" w:cs="Times New Roman"/>
                <w:i w:val="0"/>
                <w:iCs w:val="0"/>
                <w:color w:val="000000"/>
                <w:kern w:val="0"/>
                <w:sz w:val="20"/>
                <w:szCs w:val="20"/>
                <w:highlight w:val="none"/>
                <w:u w:val="none"/>
                <w:lang w:val="en-US" w:eastAsia="zh-CN" w:bidi="ar"/>
              </w:rPr>
              <w:t>无偿划转确认书</w:t>
            </w:r>
            <w:r>
              <w:rPr>
                <w:rFonts w:hint="default" w:ascii="Times New Roman" w:hAnsi="Times New Roman" w:cs="Times New Roman" w:eastAsiaTheme="minorEastAsia"/>
                <w:i w:val="0"/>
                <w:iCs w:val="0"/>
                <w:color w:val="000000"/>
                <w:kern w:val="0"/>
                <w:sz w:val="20"/>
                <w:szCs w:val="20"/>
                <w:highlight w:val="none"/>
                <w:u w:val="none"/>
                <w:lang w:val="en-US" w:eastAsia="zh-CN" w:bidi="ar"/>
              </w:rPr>
              <w:t>》附表一并填报。</w:t>
            </w:r>
          </w:p>
        </w:tc>
      </w:tr>
      <w:tr w14:paraId="0CA8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640" w:type="dxa"/>
            <w:gridSpan w:val="14"/>
            <w:tcBorders>
              <w:top w:val="nil"/>
              <w:left w:val="nil"/>
              <w:bottom w:val="nil"/>
              <w:right w:val="nil"/>
            </w:tcBorders>
            <w:shd w:val="clear" w:color="auto" w:fill="auto"/>
            <w:noWrap/>
            <w:vAlign w:val="bottom"/>
          </w:tcPr>
          <w:p w14:paraId="0EF541BF">
            <w:pPr>
              <w:rPr>
                <w:rFonts w:hint="default" w:ascii="Times New Roman" w:hAnsi="Times New Roman" w:cs="Times New Roman" w:eastAsiaTheme="minorEastAsia"/>
                <w:i w:val="0"/>
                <w:iCs w:val="0"/>
                <w:color w:val="000000"/>
                <w:sz w:val="20"/>
                <w:szCs w:val="20"/>
                <w:highlight w:val="none"/>
                <w:u w:val="none"/>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2、本表财务中心专管会计做账、机关事务管理部门/财政部门备案需原件。</w:t>
            </w:r>
          </w:p>
        </w:tc>
      </w:tr>
    </w:tbl>
    <w:p w14:paraId="7AC4BEA7">
      <w:pPr>
        <w:keepNext w:val="0"/>
        <w:keepLines w:val="0"/>
        <w:pageBreakBefore w:val="0"/>
        <w:widowControl w:val="0"/>
        <w:kinsoku w:val="0"/>
        <w:wordWrap/>
        <w:overflowPunct w:val="0"/>
        <w:topLinePunct w:val="0"/>
        <w:autoSpaceDE w:val="0"/>
        <w:autoSpaceDN w:val="0"/>
        <w:bidi w:val="0"/>
        <w:adjustRightInd w:val="0"/>
        <w:snapToGrid w:val="0"/>
        <w:spacing w:before="128" w:line="224" w:lineRule="auto"/>
        <w:textAlignment w:val="baseline"/>
        <w:rPr>
          <w:rFonts w:hint="default" w:ascii="Times New Roman" w:hAnsi="Times New Roman" w:eastAsia="黑体" w:cs="Times New Roman"/>
          <w:b/>
          <w:bCs/>
          <w:spacing w:val="-6"/>
          <w:sz w:val="42"/>
          <w:szCs w:val="42"/>
          <w:highlight w:val="none"/>
        </w:rPr>
        <w:sectPr>
          <w:footerReference r:id="rId9" w:type="default"/>
          <w:pgSz w:w="16838" w:h="11906" w:orient="landscape"/>
          <w:pgMar w:top="567" w:right="567" w:bottom="567" w:left="567" w:header="0" w:footer="1726" w:gutter="0"/>
          <w:pgNumType w:fmt="decimal"/>
          <w:cols w:space="720" w:num="1"/>
        </w:sectPr>
      </w:pPr>
    </w:p>
    <w:p w14:paraId="1BCF0B3B">
      <w:pPr>
        <w:keepNext w:val="0"/>
        <w:keepLines w:val="0"/>
        <w:pageBreakBefore w:val="0"/>
        <w:widowControl w:val="0"/>
        <w:kinsoku w:val="0"/>
        <w:wordWrap/>
        <w:overflowPunct w:val="0"/>
        <w:topLinePunct w:val="0"/>
        <w:autoSpaceDE w:val="0"/>
        <w:autoSpaceDN w:val="0"/>
        <w:bidi w:val="0"/>
        <w:adjustRightInd w:val="0"/>
        <w:snapToGrid w:val="0"/>
        <w:spacing w:line="224" w:lineRule="auto"/>
        <w:textAlignment w:val="baseline"/>
        <w:rPr>
          <w:rFonts w:hint="default" w:ascii="Times New Roman" w:hAnsi="Times New Roman" w:eastAsia="黑体" w:cs="Times New Roman"/>
          <w:spacing w:val="-6"/>
          <w:sz w:val="42"/>
          <w:szCs w:val="42"/>
          <w:highlight w:val="none"/>
          <w:lang w:val="en-US" w:eastAsia="zh-CN"/>
        </w:rPr>
      </w:pPr>
      <w:r>
        <w:rPr>
          <w:rFonts w:hint="default" w:ascii="Times New Roman" w:hAnsi="Times New Roman" w:eastAsia="黑体" w:cs="Times New Roman"/>
          <w:b/>
          <w:bCs/>
          <w:spacing w:val="-6"/>
          <w:sz w:val="42"/>
          <w:szCs w:val="42"/>
          <w:highlight w:val="none"/>
        </w:rPr>
        <w:t>附件</w:t>
      </w:r>
      <w:r>
        <w:rPr>
          <w:rFonts w:hint="default" w:ascii="Times New Roman" w:hAnsi="Times New Roman" w:eastAsia="黑体" w:cs="Times New Roman"/>
          <w:b/>
          <w:bCs/>
          <w:spacing w:val="-6"/>
          <w:sz w:val="42"/>
          <w:szCs w:val="42"/>
          <w:highlight w:val="none"/>
          <w:lang w:val="en-US" w:eastAsia="zh-CN"/>
        </w:rPr>
        <w:t>6</w:t>
      </w:r>
    </w:p>
    <w:p w14:paraId="19CDC128">
      <w:pPr>
        <w:pStyle w:val="3"/>
        <w:keepNext w:val="0"/>
        <w:keepLines w:val="0"/>
        <w:pageBreakBefore w:val="0"/>
        <w:widowControl w:val="0"/>
        <w:kinsoku w:val="0"/>
        <w:wordWrap/>
        <w:overflowPunct w:val="0"/>
        <w:topLinePunct w:val="0"/>
        <w:autoSpaceDE w:val="0"/>
        <w:autoSpaceDN w:val="0"/>
        <w:bidi w:val="0"/>
        <w:adjustRightInd w:val="0"/>
        <w:snapToGrid w:val="0"/>
        <w:spacing w:before="119" w:line="219" w:lineRule="auto"/>
        <w:ind w:left="232"/>
        <w:jc w:val="center"/>
        <w:textAlignment w:val="baseline"/>
        <w:rPr>
          <w:rFonts w:hint="default" w:ascii="Times New Roman" w:hAnsi="Times New Roman" w:cs="Times New Roman"/>
          <w:spacing w:val="-6"/>
          <w:sz w:val="48"/>
          <w:szCs w:val="48"/>
          <w:highlight w:val="none"/>
        </w:rPr>
      </w:pPr>
      <w:r>
        <w:rPr>
          <w:rFonts w:hint="default" w:ascii="Times New Roman" w:hAnsi="Times New Roman" w:cs="Times New Roman"/>
          <w:b/>
          <w:bCs/>
          <w:spacing w:val="-6"/>
          <w:sz w:val="48"/>
          <w:szCs w:val="48"/>
          <w:highlight w:val="none"/>
          <w:lang w:eastAsia="zh-CN"/>
        </w:rPr>
        <w:t>霞山区区</w:t>
      </w:r>
      <w:r>
        <w:rPr>
          <w:rFonts w:hint="default" w:ascii="Times New Roman" w:hAnsi="Times New Roman" w:cs="Times New Roman"/>
          <w:b/>
          <w:bCs/>
          <w:spacing w:val="-6"/>
          <w:sz w:val="48"/>
          <w:szCs w:val="48"/>
          <w:highlight w:val="none"/>
        </w:rPr>
        <w:t>直行政事业单位固定资产可更新年限表</w:t>
      </w:r>
    </w:p>
    <w:p w14:paraId="2183AB29">
      <w:pPr>
        <w:keepNext w:val="0"/>
        <w:keepLines w:val="0"/>
        <w:pageBreakBefore w:val="0"/>
        <w:widowControl w:val="0"/>
        <w:kinsoku w:val="0"/>
        <w:wordWrap/>
        <w:overflowPunct w:val="0"/>
        <w:topLinePunct w:val="0"/>
        <w:autoSpaceDE w:val="0"/>
        <w:autoSpaceDN w:val="0"/>
        <w:bidi w:val="0"/>
        <w:adjustRightInd w:val="0"/>
        <w:snapToGrid w:val="0"/>
        <w:spacing w:line="133" w:lineRule="exact"/>
        <w:textAlignment w:val="baseline"/>
        <w:rPr>
          <w:rFonts w:hint="default" w:ascii="Times New Roman" w:hAnsi="Times New Roman" w:cs="Times New Roman"/>
          <w:spacing w:val="-6"/>
          <w:highlight w:val="none"/>
        </w:rPr>
      </w:pPr>
    </w:p>
    <w:tbl>
      <w:tblPr>
        <w:tblStyle w:val="8"/>
        <w:tblW w:w="10679"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7"/>
        <w:gridCol w:w="2284"/>
        <w:gridCol w:w="3531"/>
        <w:gridCol w:w="2567"/>
      </w:tblGrid>
      <w:tr w14:paraId="30AC4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2297" w:type="dxa"/>
            <w:vAlign w:val="center"/>
          </w:tcPr>
          <w:p w14:paraId="32C14461">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jc w:val="center"/>
              <w:textAlignment w:val="baseline"/>
              <w:rPr>
                <w:rFonts w:hint="default" w:ascii="Times New Roman" w:hAnsi="Times New Roman" w:eastAsia="宋体" w:cs="Times New Roman"/>
                <w:b/>
                <w:bCs/>
                <w:spacing w:val="-6"/>
                <w:sz w:val="24"/>
                <w:szCs w:val="24"/>
                <w:highlight w:val="none"/>
              </w:rPr>
            </w:pPr>
            <w:r>
              <w:rPr>
                <w:rFonts w:hint="default" w:ascii="Times New Roman" w:hAnsi="Times New Roman" w:eastAsia="宋体" w:cs="Times New Roman"/>
                <w:b/>
                <w:bCs/>
                <w:spacing w:val="-6"/>
                <w:sz w:val="24"/>
                <w:szCs w:val="24"/>
                <w:highlight w:val="none"/>
              </w:rPr>
              <w:t>固定资产类别</w:t>
            </w:r>
          </w:p>
        </w:tc>
        <w:tc>
          <w:tcPr>
            <w:tcW w:w="5815" w:type="dxa"/>
            <w:gridSpan w:val="2"/>
            <w:vAlign w:val="center"/>
          </w:tcPr>
          <w:p w14:paraId="76A2549C">
            <w:pPr>
              <w:keepNext w:val="0"/>
              <w:keepLines w:val="0"/>
              <w:pageBreakBefore w:val="0"/>
              <w:widowControl w:val="0"/>
              <w:kinsoku w:val="0"/>
              <w:wordWrap/>
              <w:overflowPunct w:val="0"/>
              <w:topLinePunct w:val="0"/>
              <w:autoSpaceDE w:val="0"/>
              <w:autoSpaceDN w:val="0"/>
              <w:bidi w:val="0"/>
              <w:adjustRightInd w:val="0"/>
              <w:snapToGrid w:val="0"/>
              <w:spacing w:line="218" w:lineRule="auto"/>
              <w:ind w:left="0"/>
              <w:jc w:val="center"/>
              <w:textAlignment w:val="baseline"/>
              <w:rPr>
                <w:rFonts w:hint="default" w:ascii="Times New Roman" w:hAnsi="Times New Roman" w:eastAsia="宋体" w:cs="Times New Roman"/>
                <w:b/>
                <w:bCs/>
                <w:spacing w:val="-6"/>
                <w:sz w:val="24"/>
                <w:szCs w:val="24"/>
                <w:highlight w:val="none"/>
              </w:rPr>
            </w:pPr>
            <w:r>
              <w:rPr>
                <w:rFonts w:hint="default" w:ascii="Times New Roman" w:hAnsi="Times New Roman" w:eastAsia="宋体" w:cs="Times New Roman"/>
                <w:b/>
                <w:bCs/>
                <w:spacing w:val="-6"/>
                <w:sz w:val="24"/>
                <w:szCs w:val="24"/>
                <w:highlight w:val="none"/>
              </w:rPr>
              <w:t>内容</w:t>
            </w:r>
          </w:p>
        </w:tc>
        <w:tc>
          <w:tcPr>
            <w:tcW w:w="2567" w:type="dxa"/>
            <w:vAlign w:val="center"/>
          </w:tcPr>
          <w:p w14:paraId="1463942E">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jc w:val="center"/>
              <w:textAlignment w:val="baseline"/>
              <w:rPr>
                <w:rFonts w:hint="eastAsia" w:ascii="Times New Roman" w:hAnsi="Times New Roman" w:eastAsia="宋体" w:cs="Times New Roman"/>
                <w:b/>
                <w:bCs/>
                <w:spacing w:val="-6"/>
                <w:sz w:val="24"/>
                <w:szCs w:val="24"/>
                <w:highlight w:val="none"/>
                <w:lang w:eastAsia="zh-CN"/>
              </w:rPr>
            </w:pPr>
            <w:r>
              <w:rPr>
                <w:rFonts w:hint="default" w:ascii="Times New Roman" w:hAnsi="Times New Roman" w:eastAsia="宋体" w:cs="Times New Roman"/>
                <w:b/>
                <w:bCs/>
                <w:spacing w:val="-6"/>
                <w:sz w:val="24"/>
                <w:szCs w:val="24"/>
                <w:highlight w:val="none"/>
              </w:rPr>
              <w:t>可更新年限</w:t>
            </w:r>
            <w:r>
              <w:rPr>
                <w:rFonts w:hint="eastAsia" w:ascii="Times New Roman" w:hAnsi="Times New Roman" w:eastAsia="宋体" w:cs="Times New Roman"/>
                <w:b/>
                <w:bCs/>
                <w:spacing w:val="-6"/>
                <w:sz w:val="24"/>
                <w:szCs w:val="24"/>
                <w:highlight w:val="none"/>
                <w:lang w:eastAsia="zh-CN"/>
              </w:rPr>
              <w:t>（</w:t>
            </w:r>
            <w:r>
              <w:rPr>
                <w:rFonts w:hint="default" w:ascii="Times New Roman" w:hAnsi="Times New Roman" w:eastAsia="宋体" w:cs="Times New Roman"/>
                <w:b/>
                <w:bCs/>
                <w:spacing w:val="-6"/>
                <w:sz w:val="24"/>
                <w:szCs w:val="24"/>
                <w:highlight w:val="none"/>
              </w:rPr>
              <w:t>年</w:t>
            </w:r>
            <w:r>
              <w:rPr>
                <w:rFonts w:hint="eastAsia" w:ascii="Times New Roman" w:hAnsi="Times New Roman" w:eastAsia="宋体" w:cs="Times New Roman"/>
                <w:b/>
                <w:bCs/>
                <w:spacing w:val="-6"/>
                <w:sz w:val="24"/>
                <w:szCs w:val="24"/>
                <w:highlight w:val="none"/>
                <w:lang w:eastAsia="zh-CN"/>
              </w:rPr>
              <w:t>）</w:t>
            </w:r>
          </w:p>
        </w:tc>
      </w:tr>
      <w:tr w14:paraId="742EC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2297" w:type="dxa"/>
            <w:vMerge w:val="restart"/>
            <w:tcBorders>
              <w:bottom w:val="nil"/>
            </w:tcBorders>
            <w:vAlign w:val="center"/>
          </w:tcPr>
          <w:p w14:paraId="1EB50426">
            <w:pPr>
              <w:keepNext w:val="0"/>
              <w:keepLines w:val="0"/>
              <w:pageBreakBefore w:val="0"/>
              <w:widowControl w:val="0"/>
              <w:kinsoku w:val="0"/>
              <w:wordWrap/>
              <w:overflowPunct w:val="0"/>
              <w:topLinePunct w:val="0"/>
              <w:autoSpaceDE w:val="0"/>
              <w:autoSpaceDN w:val="0"/>
              <w:bidi w:val="0"/>
              <w:adjustRightInd w:val="0"/>
              <w:snapToGrid w:val="0"/>
              <w:spacing w:line="220"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房屋及构筑物</w:t>
            </w:r>
          </w:p>
        </w:tc>
        <w:tc>
          <w:tcPr>
            <w:tcW w:w="2284" w:type="dxa"/>
            <w:vMerge w:val="restart"/>
            <w:tcBorders>
              <w:bottom w:val="nil"/>
            </w:tcBorders>
            <w:vAlign w:val="center"/>
          </w:tcPr>
          <w:p w14:paraId="6CAC8FBE">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业务及管理用房</w:t>
            </w:r>
          </w:p>
        </w:tc>
        <w:tc>
          <w:tcPr>
            <w:tcW w:w="3531" w:type="dxa"/>
            <w:vAlign w:val="center"/>
          </w:tcPr>
          <w:p w14:paraId="68A86BD0">
            <w:pPr>
              <w:keepNext w:val="0"/>
              <w:keepLines w:val="0"/>
              <w:pageBreakBefore w:val="0"/>
              <w:widowControl w:val="0"/>
              <w:kinsoku w:val="0"/>
              <w:wordWrap/>
              <w:overflowPunct w:val="0"/>
              <w:topLinePunct w:val="0"/>
              <w:autoSpaceDE w:val="0"/>
              <w:autoSpaceDN w:val="0"/>
              <w:bidi w:val="0"/>
              <w:adjustRightInd w:val="0"/>
              <w:snapToGrid w:val="0"/>
              <w:spacing w:line="220"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钢结构</w:t>
            </w:r>
          </w:p>
        </w:tc>
        <w:tc>
          <w:tcPr>
            <w:tcW w:w="2567" w:type="dxa"/>
            <w:vAlign w:val="center"/>
          </w:tcPr>
          <w:p w14:paraId="44F41B75">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不低于50</w:t>
            </w:r>
          </w:p>
        </w:tc>
      </w:tr>
      <w:tr w14:paraId="58E6B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2297" w:type="dxa"/>
            <w:vMerge w:val="continue"/>
            <w:tcBorders>
              <w:top w:val="nil"/>
              <w:bottom w:val="nil"/>
            </w:tcBorders>
            <w:vAlign w:val="center"/>
          </w:tcPr>
          <w:p w14:paraId="1A62C5BC">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2284" w:type="dxa"/>
            <w:vMerge w:val="continue"/>
            <w:tcBorders>
              <w:top w:val="nil"/>
              <w:bottom w:val="nil"/>
            </w:tcBorders>
            <w:vAlign w:val="center"/>
          </w:tcPr>
          <w:p w14:paraId="2E33731E">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3531" w:type="dxa"/>
            <w:vAlign w:val="center"/>
          </w:tcPr>
          <w:p w14:paraId="2D3757F1">
            <w:pPr>
              <w:keepNext w:val="0"/>
              <w:keepLines w:val="0"/>
              <w:pageBreakBefore w:val="0"/>
              <w:widowControl w:val="0"/>
              <w:kinsoku w:val="0"/>
              <w:wordWrap/>
              <w:overflowPunct w:val="0"/>
              <w:topLinePunct w:val="0"/>
              <w:autoSpaceDE w:val="0"/>
              <w:autoSpaceDN w:val="0"/>
              <w:bidi w:val="0"/>
              <w:adjustRightInd w:val="0"/>
              <w:snapToGrid w:val="0"/>
              <w:spacing w:line="206"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钢筋混凝土结构</w:t>
            </w:r>
          </w:p>
        </w:tc>
        <w:tc>
          <w:tcPr>
            <w:tcW w:w="2567" w:type="dxa"/>
            <w:vAlign w:val="center"/>
          </w:tcPr>
          <w:p w14:paraId="30B0C1A4">
            <w:pPr>
              <w:keepNext w:val="0"/>
              <w:keepLines w:val="0"/>
              <w:pageBreakBefore w:val="0"/>
              <w:widowControl w:val="0"/>
              <w:kinsoku w:val="0"/>
              <w:wordWrap/>
              <w:overflowPunct w:val="0"/>
              <w:topLinePunct w:val="0"/>
              <w:autoSpaceDE w:val="0"/>
              <w:autoSpaceDN w:val="0"/>
              <w:bidi w:val="0"/>
              <w:adjustRightInd w:val="0"/>
              <w:snapToGrid w:val="0"/>
              <w:spacing w:line="205"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不低于50</w:t>
            </w:r>
          </w:p>
        </w:tc>
      </w:tr>
      <w:tr w14:paraId="2A664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297" w:type="dxa"/>
            <w:vMerge w:val="continue"/>
            <w:tcBorders>
              <w:top w:val="nil"/>
              <w:bottom w:val="nil"/>
            </w:tcBorders>
            <w:vAlign w:val="center"/>
          </w:tcPr>
          <w:p w14:paraId="4F88C70C">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2284" w:type="dxa"/>
            <w:vMerge w:val="continue"/>
            <w:tcBorders>
              <w:top w:val="nil"/>
              <w:bottom w:val="nil"/>
            </w:tcBorders>
            <w:vAlign w:val="center"/>
          </w:tcPr>
          <w:p w14:paraId="4576618A">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3531" w:type="dxa"/>
            <w:vAlign w:val="center"/>
          </w:tcPr>
          <w:p w14:paraId="3E9F10AC">
            <w:pPr>
              <w:keepNext w:val="0"/>
              <w:keepLines w:val="0"/>
              <w:pageBreakBefore w:val="0"/>
              <w:widowControl w:val="0"/>
              <w:kinsoku w:val="0"/>
              <w:wordWrap/>
              <w:overflowPunct w:val="0"/>
              <w:topLinePunct w:val="0"/>
              <w:autoSpaceDE w:val="0"/>
              <w:autoSpaceDN w:val="0"/>
              <w:bidi w:val="0"/>
              <w:adjustRightInd w:val="0"/>
              <w:snapToGrid w:val="0"/>
              <w:spacing w:line="220"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砖混结构</w:t>
            </w:r>
          </w:p>
        </w:tc>
        <w:tc>
          <w:tcPr>
            <w:tcW w:w="2567" w:type="dxa"/>
            <w:vAlign w:val="center"/>
          </w:tcPr>
          <w:p w14:paraId="4E858E1D">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不低于30</w:t>
            </w:r>
          </w:p>
        </w:tc>
      </w:tr>
      <w:tr w14:paraId="0E97C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297" w:type="dxa"/>
            <w:vMerge w:val="continue"/>
            <w:tcBorders>
              <w:top w:val="nil"/>
              <w:bottom w:val="nil"/>
            </w:tcBorders>
            <w:vAlign w:val="center"/>
          </w:tcPr>
          <w:p w14:paraId="3AD7D78B">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2284" w:type="dxa"/>
            <w:vMerge w:val="continue"/>
            <w:tcBorders>
              <w:top w:val="nil"/>
            </w:tcBorders>
            <w:vAlign w:val="center"/>
          </w:tcPr>
          <w:p w14:paraId="0AB29E9D">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3531" w:type="dxa"/>
            <w:vAlign w:val="center"/>
          </w:tcPr>
          <w:p w14:paraId="7F4AC849">
            <w:pPr>
              <w:keepNext w:val="0"/>
              <w:keepLines w:val="0"/>
              <w:pageBreakBefore w:val="0"/>
              <w:widowControl w:val="0"/>
              <w:kinsoku w:val="0"/>
              <w:wordWrap/>
              <w:overflowPunct w:val="0"/>
              <w:topLinePunct w:val="0"/>
              <w:autoSpaceDE w:val="0"/>
              <w:autoSpaceDN w:val="0"/>
              <w:bidi w:val="0"/>
              <w:adjustRightInd w:val="0"/>
              <w:snapToGrid w:val="0"/>
              <w:spacing w:line="220"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砖木结构</w:t>
            </w:r>
          </w:p>
        </w:tc>
        <w:tc>
          <w:tcPr>
            <w:tcW w:w="2567" w:type="dxa"/>
            <w:vAlign w:val="center"/>
          </w:tcPr>
          <w:p w14:paraId="1FC84347">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不低于30</w:t>
            </w:r>
          </w:p>
        </w:tc>
      </w:tr>
      <w:tr w14:paraId="00F7C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2297" w:type="dxa"/>
            <w:vMerge w:val="continue"/>
            <w:tcBorders>
              <w:top w:val="nil"/>
              <w:bottom w:val="nil"/>
            </w:tcBorders>
            <w:vAlign w:val="center"/>
          </w:tcPr>
          <w:p w14:paraId="2AF1FF57">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7ACFEAC9">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简易房</w:t>
            </w:r>
          </w:p>
        </w:tc>
        <w:tc>
          <w:tcPr>
            <w:tcW w:w="2567" w:type="dxa"/>
            <w:vAlign w:val="center"/>
          </w:tcPr>
          <w:p w14:paraId="5AE93533">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不低于8</w:t>
            </w:r>
          </w:p>
        </w:tc>
      </w:tr>
      <w:tr w14:paraId="02A4E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2297" w:type="dxa"/>
            <w:vMerge w:val="continue"/>
            <w:tcBorders>
              <w:top w:val="nil"/>
              <w:bottom w:val="nil"/>
            </w:tcBorders>
            <w:vAlign w:val="center"/>
          </w:tcPr>
          <w:p w14:paraId="6B5E2B5E">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73960284">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房屋附属设施</w:t>
            </w:r>
          </w:p>
        </w:tc>
        <w:tc>
          <w:tcPr>
            <w:tcW w:w="2567" w:type="dxa"/>
            <w:vAlign w:val="center"/>
          </w:tcPr>
          <w:p w14:paraId="7F02870D">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不低于8</w:t>
            </w:r>
          </w:p>
        </w:tc>
      </w:tr>
      <w:tr w14:paraId="072C3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2297" w:type="dxa"/>
            <w:vMerge w:val="continue"/>
            <w:tcBorders>
              <w:top w:val="nil"/>
            </w:tcBorders>
            <w:vAlign w:val="center"/>
          </w:tcPr>
          <w:p w14:paraId="2923868C">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62190544">
            <w:pPr>
              <w:keepNext w:val="0"/>
              <w:keepLines w:val="0"/>
              <w:pageBreakBefore w:val="0"/>
              <w:widowControl w:val="0"/>
              <w:kinsoku w:val="0"/>
              <w:wordWrap/>
              <w:overflowPunct w:val="0"/>
              <w:topLinePunct w:val="0"/>
              <w:autoSpaceDE w:val="0"/>
              <w:autoSpaceDN w:val="0"/>
              <w:bidi w:val="0"/>
              <w:adjustRightInd w:val="0"/>
              <w:snapToGrid w:val="0"/>
              <w:spacing w:line="220"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构筑物</w:t>
            </w:r>
          </w:p>
        </w:tc>
        <w:tc>
          <w:tcPr>
            <w:tcW w:w="2567" w:type="dxa"/>
            <w:vAlign w:val="center"/>
          </w:tcPr>
          <w:p w14:paraId="00F0893B">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不低于8</w:t>
            </w:r>
          </w:p>
        </w:tc>
      </w:tr>
      <w:tr w14:paraId="06CC1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297" w:type="dxa"/>
            <w:vMerge w:val="restart"/>
            <w:tcBorders>
              <w:bottom w:val="nil"/>
            </w:tcBorders>
            <w:vAlign w:val="center"/>
          </w:tcPr>
          <w:p w14:paraId="4BC6BB75">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通用设备</w:t>
            </w:r>
          </w:p>
        </w:tc>
        <w:tc>
          <w:tcPr>
            <w:tcW w:w="5815" w:type="dxa"/>
            <w:gridSpan w:val="2"/>
            <w:vAlign w:val="center"/>
          </w:tcPr>
          <w:p w14:paraId="4CB7CED8">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计算机设备</w:t>
            </w:r>
          </w:p>
        </w:tc>
        <w:tc>
          <w:tcPr>
            <w:tcW w:w="2567" w:type="dxa"/>
            <w:vAlign w:val="center"/>
          </w:tcPr>
          <w:p w14:paraId="1D375E9A">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不低于6</w:t>
            </w:r>
          </w:p>
        </w:tc>
      </w:tr>
      <w:tr w14:paraId="64F81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297" w:type="dxa"/>
            <w:vMerge w:val="continue"/>
            <w:tcBorders>
              <w:top w:val="nil"/>
              <w:bottom w:val="nil"/>
            </w:tcBorders>
            <w:vAlign w:val="center"/>
          </w:tcPr>
          <w:p w14:paraId="26264BBD">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1A16087A">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办公设备</w:t>
            </w:r>
          </w:p>
        </w:tc>
        <w:tc>
          <w:tcPr>
            <w:tcW w:w="2567" w:type="dxa"/>
            <w:vAlign w:val="center"/>
          </w:tcPr>
          <w:p w14:paraId="52D73C32">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不低于6</w:t>
            </w:r>
          </w:p>
        </w:tc>
      </w:tr>
      <w:tr w14:paraId="1D3D1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97" w:type="dxa"/>
            <w:vMerge w:val="continue"/>
            <w:tcBorders>
              <w:top w:val="nil"/>
              <w:bottom w:val="nil"/>
            </w:tcBorders>
            <w:vAlign w:val="center"/>
          </w:tcPr>
          <w:p w14:paraId="7D4950FF">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116F6C32">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车辆</w:t>
            </w:r>
          </w:p>
        </w:tc>
        <w:tc>
          <w:tcPr>
            <w:tcW w:w="2567" w:type="dxa"/>
            <w:vAlign w:val="center"/>
          </w:tcPr>
          <w:p w14:paraId="6C4EF83D">
            <w:pPr>
              <w:keepNext w:val="0"/>
              <w:keepLines w:val="0"/>
              <w:pageBreakBefore w:val="0"/>
              <w:widowControl w:val="0"/>
              <w:kinsoku w:val="0"/>
              <w:wordWrap/>
              <w:overflowPunct w:val="0"/>
              <w:topLinePunct w:val="0"/>
              <w:autoSpaceDE w:val="0"/>
              <w:autoSpaceDN w:val="0"/>
              <w:bidi w:val="0"/>
              <w:adjustRightInd w:val="0"/>
              <w:snapToGrid w:val="0"/>
              <w:spacing w:line="208"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不低于8</w:t>
            </w:r>
          </w:p>
        </w:tc>
      </w:tr>
      <w:tr w14:paraId="4BA52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297" w:type="dxa"/>
            <w:vMerge w:val="continue"/>
            <w:tcBorders>
              <w:top w:val="nil"/>
              <w:bottom w:val="nil"/>
            </w:tcBorders>
            <w:vAlign w:val="center"/>
          </w:tcPr>
          <w:p w14:paraId="18B02B31">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3184CCE1">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图书档案设备</w:t>
            </w:r>
          </w:p>
        </w:tc>
        <w:tc>
          <w:tcPr>
            <w:tcW w:w="2567" w:type="dxa"/>
            <w:vAlign w:val="center"/>
          </w:tcPr>
          <w:p w14:paraId="280A8C17">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不低于5</w:t>
            </w:r>
          </w:p>
        </w:tc>
      </w:tr>
      <w:tr w14:paraId="514EA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297" w:type="dxa"/>
            <w:vMerge w:val="continue"/>
            <w:tcBorders>
              <w:top w:val="nil"/>
              <w:bottom w:val="nil"/>
            </w:tcBorders>
            <w:vAlign w:val="center"/>
          </w:tcPr>
          <w:p w14:paraId="492881AE">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404605B3">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机械设备</w:t>
            </w:r>
          </w:p>
        </w:tc>
        <w:tc>
          <w:tcPr>
            <w:tcW w:w="2567" w:type="dxa"/>
            <w:vAlign w:val="center"/>
          </w:tcPr>
          <w:p w14:paraId="769CDA29">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不低于10</w:t>
            </w:r>
          </w:p>
        </w:tc>
      </w:tr>
      <w:tr w14:paraId="71D0E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297" w:type="dxa"/>
            <w:vMerge w:val="continue"/>
            <w:tcBorders>
              <w:top w:val="nil"/>
              <w:bottom w:val="nil"/>
            </w:tcBorders>
            <w:vAlign w:val="center"/>
          </w:tcPr>
          <w:p w14:paraId="0BF9348D">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667BED16">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电气设备</w:t>
            </w:r>
          </w:p>
        </w:tc>
        <w:tc>
          <w:tcPr>
            <w:tcW w:w="2567" w:type="dxa"/>
            <w:vAlign w:val="center"/>
          </w:tcPr>
          <w:p w14:paraId="185FC327">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不低于5</w:t>
            </w:r>
          </w:p>
        </w:tc>
      </w:tr>
      <w:tr w14:paraId="20357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297" w:type="dxa"/>
            <w:vMerge w:val="continue"/>
            <w:tcBorders>
              <w:top w:val="nil"/>
              <w:bottom w:val="nil"/>
            </w:tcBorders>
            <w:vAlign w:val="center"/>
          </w:tcPr>
          <w:p w14:paraId="62C4B9CE">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754D5D69">
            <w:pPr>
              <w:keepNext w:val="0"/>
              <w:keepLines w:val="0"/>
              <w:pageBreakBefore w:val="0"/>
              <w:widowControl w:val="0"/>
              <w:kinsoku w:val="0"/>
              <w:wordWrap/>
              <w:overflowPunct w:val="0"/>
              <w:topLinePunct w:val="0"/>
              <w:autoSpaceDE w:val="0"/>
              <w:autoSpaceDN w:val="0"/>
              <w:bidi w:val="0"/>
              <w:adjustRightInd w:val="0"/>
              <w:snapToGrid w:val="0"/>
              <w:spacing w:line="221"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雷达、无线电和卫星导航设备</w:t>
            </w:r>
          </w:p>
        </w:tc>
        <w:tc>
          <w:tcPr>
            <w:tcW w:w="2567" w:type="dxa"/>
            <w:vAlign w:val="center"/>
          </w:tcPr>
          <w:p w14:paraId="1961F6B1">
            <w:pPr>
              <w:keepNext w:val="0"/>
              <w:keepLines w:val="0"/>
              <w:pageBreakBefore w:val="0"/>
              <w:widowControl w:val="0"/>
              <w:kinsoku w:val="0"/>
              <w:wordWrap/>
              <w:overflowPunct w:val="0"/>
              <w:topLinePunct w:val="0"/>
              <w:autoSpaceDE w:val="0"/>
              <w:autoSpaceDN w:val="0"/>
              <w:bidi w:val="0"/>
              <w:adjustRightInd w:val="0"/>
              <w:snapToGrid w:val="0"/>
              <w:spacing w:line="202"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不低于10</w:t>
            </w:r>
          </w:p>
        </w:tc>
      </w:tr>
      <w:tr w14:paraId="23D9E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2297" w:type="dxa"/>
            <w:vMerge w:val="continue"/>
            <w:tcBorders>
              <w:top w:val="nil"/>
              <w:bottom w:val="nil"/>
            </w:tcBorders>
            <w:vAlign w:val="center"/>
          </w:tcPr>
          <w:p w14:paraId="6174A421">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320F022C">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通信设备</w:t>
            </w:r>
          </w:p>
        </w:tc>
        <w:tc>
          <w:tcPr>
            <w:tcW w:w="2567" w:type="dxa"/>
            <w:vAlign w:val="center"/>
          </w:tcPr>
          <w:p w14:paraId="7901C911">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不低于5</w:t>
            </w:r>
          </w:p>
        </w:tc>
      </w:tr>
      <w:tr w14:paraId="23C2E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297" w:type="dxa"/>
            <w:vMerge w:val="continue"/>
            <w:tcBorders>
              <w:top w:val="nil"/>
              <w:bottom w:val="nil"/>
            </w:tcBorders>
            <w:vAlign w:val="center"/>
          </w:tcPr>
          <w:p w14:paraId="2B965BC5">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67EB0F1F">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广播、电视、电影设备</w:t>
            </w:r>
          </w:p>
        </w:tc>
        <w:tc>
          <w:tcPr>
            <w:tcW w:w="2567" w:type="dxa"/>
            <w:vAlign w:val="center"/>
          </w:tcPr>
          <w:p w14:paraId="23B25B2E">
            <w:pPr>
              <w:keepNext w:val="0"/>
              <w:keepLines w:val="0"/>
              <w:pageBreakBefore w:val="0"/>
              <w:widowControl w:val="0"/>
              <w:kinsoku w:val="0"/>
              <w:wordWrap/>
              <w:overflowPunct w:val="0"/>
              <w:topLinePunct w:val="0"/>
              <w:autoSpaceDE w:val="0"/>
              <w:autoSpaceDN w:val="0"/>
              <w:bidi w:val="0"/>
              <w:adjustRightInd w:val="0"/>
              <w:snapToGrid w:val="0"/>
              <w:spacing w:line="221"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不低于5</w:t>
            </w:r>
          </w:p>
        </w:tc>
      </w:tr>
      <w:tr w14:paraId="7767B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2297" w:type="dxa"/>
            <w:vMerge w:val="continue"/>
            <w:tcBorders>
              <w:top w:val="nil"/>
              <w:bottom w:val="nil"/>
            </w:tcBorders>
            <w:vAlign w:val="center"/>
          </w:tcPr>
          <w:p w14:paraId="07D5EFB4">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201739E8">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仪器仪表</w:t>
            </w:r>
          </w:p>
        </w:tc>
        <w:tc>
          <w:tcPr>
            <w:tcW w:w="2567" w:type="dxa"/>
            <w:vAlign w:val="center"/>
          </w:tcPr>
          <w:p w14:paraId="0B675A72">
            <w:pPr>
              <w:keepNext w:val="0"/>
              <w:keepLines w:val="0"/>
              <w:pageBreakBefore w:val="0"/>
              <w:widowControl w:val="0"/>
              <w:kinsoku w:val="0"/>
              <w:wordWrap/>
              <w:overflowPunct w:val="0"/>
              <w:topLinePunct w:val="0"/>
              <w:autoSpaceDE w:val="0"/>
              <w:autoSpaceDN w:val="0"/>
              <w:bidi w:val="0"/>
              <w:adjustRightInd w:val="0"/>
              <w:snapToGrid w:val="0"/>
              <w:spacing w:line="213"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不低于5</w:t>
            </w:r>
          </w:p>
        </w:tc>
      </w:tr>
      <w:tr w14:paraId="02E35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7" w:type="dxa"/>
            <w:vMerge w:val="continue"/>
            <w:tcBorders>
              <w:top w:val="nil"/>
              <w:bottom w:val="nil"/>
            </w:tcBorders>
            <w:vAlign w:val="center"/>
          </w:tcPr>
          <w:p w14:paraId="683F0940">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4FF98373">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电子和通信测量设备</w:t>
            </w:r>
          </w:p>
        </w:tc>
        <w:tc>
          <w:tcPr>
            <w:tcW w:w="2567" w:type="dxa"/>
            <w:vAlign w:val="center"/>
          </w:tcPr>
          <w:p w14:paraId="4B2368E0">
            <w:pPr>
              <w:keepNext w:val="0"/>
              <w:keepLines w:val="0"/>
              <w:pageBreakBefore w:val="0"/>
              <w:widowControl w:val="0"/>
              <w:kinsoku w:val="0"/>
              <w:wordWrap/>
              <w:overflowPunct w:val="0"/>
              <w:topLinePunct w:val="0"/>
              <w:autoSpaceDE w:val="0"/>
              <w:autoSpaceDN w:val="0"/>
              <w:bidi w:val="0"/>
              <w:adjustRightInd w:val="0"/>
              <w:snapToGrid w:val="0"/>
              <w:spacing w:line="213"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不低于5</w:t>
            </w:r>
          </w:p>
        </w:tc>
      </w:tr>
      <w:tr w14:paraId="6DEB3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297" w:type="dxa"/>
            <w:vMerge w:val="continue"/>
            <w:tcBorders>
              <w:top w:val="nil"/>
            </w:tcBorders>
            <w:vAlign w:val="center"/>
          </w:tcPr>
          <w:p w14:paraId="5F583053">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29A81EB1">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计量标准器具及量具、衡器</w:t>
            </w:r>
          </w:p>
        </w:tc>
        <w:tc>
          <w:tcPr>
            <w:tcW w:w="2567" w:type="dxa"/>
            <w:vAlign w:val="center"/>
          </w:tcPr>
          <w:p w14:paraId="155DEF0C">
            <w:pPr>
              <w:keepNext w:val="0"/>
              <w:keepLines w:val="0"/>
              <w:pageBreakBefore w:val="0"/>
              <w:widowControl w:val="0"/>
              <w:kinsoku w:val="0"/>
              <w:wordWrap/>
              <w:overflowPunct w:val="0"/>
              <w:topLinePunct w:val="0"/>
              <w:autoSpaceDE w:val="0"/>
              <w:autoSpaceDN w:val="0"/>
              <w:bidi w:val="0"/>
              <w:adjustRightInd w:val="0"/>
              <w:snapToGrid w:val="0"/>
              <w:spacing w:line="207"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不低于5</w:t>
            </w:r>
          </w:p>
        </w:tc>
      </w:tr>
      <w:tr w14:paraId="0C04D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297" w:type="dxa"/>
            <w:vMerge w:val="restart"/>
            <w:tcBorders>
              <w:bottom w:val="nil"/>
            </w:tcBorders>
            <w:vAlign w:val="center"/>
          </w:tcPr>
          <w:p w14:paraId="50CD560F">
            <w:pPr>
              <w:keepNext w:val="0"/>
              <w:keepLines w:val="0"/>
              <w:pageBreakBefore w:val="0"/>
              <w:widowControl w:val="0"/>
              <w:kinsoku w:val="0"/>
              <w:wordWrap/>
              <w:overflowPunct w:val="0"/>
              <w:topLinePunct w:val="0"/>
              <w:autoSpaceDE w:val="0"/>
              <w:autoSpaceDN w:val="0"/>
              <w:bidi w:val="0"/>
              <w:adjustRightInd w:val="0"/>
              <w:snapToGrid w:val="0"/>
              <w:spacing w:line="220"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专用设备</w:t>
            </w:r>
          </w:p>
        </w:tc>
        <w:tc>
          <w:tcPr>
            <w:tcW w:w="5815" w:type="dxa"/>
            <w:gridSpan w:val="2"/>
            <w:vAlign w:val="center"/>
          </w:tcPr>
          <w:p w14:paraId="2B58E301">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探矿、采矿、选矿和造块设备</w:t>
            </w:r>
          </w:p>
        </w:tc>
        <w:tc>
          <w:tcPr>
            <w:tcW w:w="2567" w:type="dxa"/>
            <w:vAlign w:val="center"/>
          </w:tcPr>
          <w:p w14:paraId="50514968">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10-15</w:t>
            </w:r>
          </w:p>
        </w:tc>
      </w:tr>
      <w:tr w14:paraId="07A0B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2297" w:type="dxa"/>
            <w:vMerge w:val="continue"/>
            <w:tcBorders>
              <w:top w:val="nil"/>
              <w:bottom w:val="nil"/>
            </w:tcBorders>
            <w:vAlign w:val="center"/>
          </w:tcPr>
          <w:p w14:paraId="596A7FC3">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2C102F50">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石油天然气开采专用设备</w:t>
            </w:r>
          </w:p>
        </w:tc>
        <w:tc>
          <w:tcPr>
            <w:tcW w:w="2567" w:type="dxa"/>
            <w:vAlign w:val="center"/>
          </w:tcPr>
          <w:p w14:paraId="06E31E29">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10-15</w:t>
            </w:r>
          </w:p>
        </w:tc>
      </w:tr>
      <w:tr w14:paraId="06E86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297" w:type="dxa"/>
            <w:vMerge w:val="continue"/>
            <w:tcBorders>
              <w:top w:val="nil"/>
              <w:bottom w:val="nil"/>
            </w:tcBorders>
            <w:vAlign w:val="center"/>
          </w:tcPr>
          <w:p w14:paraId="320F701B">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79E1003F">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石油和化学工业专用设备</w:t>
            </w:r>
          </w:p>
        </w:tc>
        <w:tc>
          <w:tcPr>
            <w:tcW w:w="2567" w:type="dxa"/>
            <w:vAlign w:val="center"/>
          </w:tcPr>
          <w:p w14:paraId="3406DA56">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10-15</w:t>
            </w:r>
          </w:p>
        </w:tc>
      </w:tr>
      <w:tr w14:paraId="59318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2297" w:type="dxa"/>
            <w:vMerge w:val="continue"/>
            <w:tcBorders>
              <w:top w:val="nil"/>
              <w:bottom w:val="nil"/>
            </w:tcBorders>
            <w:vAlign w:val="center"/>
          </w:tcPr>
          <w:p w14:paraId="51ABFB48">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621CCAB6">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炼焦和金属冶炼轧制设备</w:t>
            </w:r>
          </w:p>
        </w:tc>
        <w:tc>
          <w:tcPr>
            <w:tcW w:w="2567" w:type="dxa"/>
            <w:vAlign w:val="center"/>
          </w:tcPr>
          <w:p w14:paraId="1604E260">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10-15</w:t>
            </w:r>
          </w:p>
        </w:tc>
      </w:tr>
      <w:tr w14:paraId="13CC1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2297" w:type="dxa"/>
            <w:vMerge w:val="continue"/>
            <w:tcBorders>
              <w:top w:val="nil"/>
              <w:bottom w:val="nil"/>
            </w:tcBorders>
            <w:vAlign w:val="center"/>
          </w:tcPr>
          <w:p w14:paraId="5DD7D202">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5AAFECF8">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电力工业专用设备</w:t>
            </w:r>
          </w:p>
        </w:tc>
        <w:tc>
          <w:tcPr>
            <w:tcW w:w="2567" w:type="dxa"/>
            <w:vAlign w:val="center"/>
          </w:tcPr>
          <w:p w14:paraId="535909A7">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20-30</w:t>
            </w:r>
          </w:p>
        </w:tc>
      </w:tr>
      <w:tr w14:paraId="33949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297" w:type="dxa"/>
            <w:vMerge w:val="continue"/>
            <w:tcBorders>
              <w:top w:val="nil"/>
              <w:bottom w:val="nil"/>
            </w:tcBorders>
            <w:vAlign w:val="center"/>
          </w:tcPr>
          <w:p w14:paraId="38FF91F2">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76133428">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非金属矿物制品工业专用设备</w:t>
            </w:r>
          </w:p>
        </w:tc>
        <w:tc>
          <w:tcPr>
            <w:tcW w:w="2567" w:type="dxa"/>
            <w:vAlign w:val="center"/>
          </w:tcPr>
          <w:p w14:paraId="0804725C">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10-20</w:t>
            </w:r>
          </w:p>
        </w:tc>
      </w:tr>
      <w:tr w14:paraId="6DA9D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297" w:type="dxa"/>
            <w:vMerge w:val="continue"/>
            <w:tcBorders>
              <w:top w:val="nil"/>
              <w:bottom w:val="nil"/>
            </w:tcBorders>
            <w:vAlign w:val="center"/>
          </w:tcPr>
          <w:p w14:paraId="72399D22">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4E876922">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核工业专用设备</w:t>
            </w:r>
          </w:p>
        </w:tc>
        <w:tc>
          <w:tcPr>
            <w:tcW w:w="2567" w:type="dxa"/>
            <w:vAlign w:val="center"/>
          </w:tcPr>
          <w:p w14:paraId="1838A97A">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20-30</w:t>
            </w:r>
          </w:p>
        </w:tc>
      </w:tr>
      <w:tr w14:paraId="40B0B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7" w:type="dxa"/>
            <w:vMerge w:val="continue"/>
            <w:tcBorders>
              <w:top w:val="nil"/>
            </w:tcBorders>
            <w:vAlign w:val="center"/>
          </w:tcPr>
          <w:p w14:paraId="69F7A1ED">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15" w:type="dxa"/>
            <w:gridSpan w:val="2"/>
            <w:vAlign w:val="center"/>
          </w:tcPr>
          <w:p w14:paraId="4E8F7DE6">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航空航天工业专用设备</w:t>
            </w:r>
          </w:p>
        </w:tc>
        <w:tc>
          <w:tcPr>
            <w:tcW w:w="2567" w:type="dxa"/>
            <w:vAlign w:val="center"/>
          </w:tcPr>
          <w:p w14:paraId="5CB0C8E7">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20-30</w:t>
            </w:r>
          </w:p>
        </w:tc>
      </w:tr>
    </w:tbl>
    <w:p w14:paraId="1475569A">
      <w:pPr>
        <w:rPr>
          <w:rFonts w:hint="default" w:ascii="Times New Roman" w:hAnsi="Times New Roman" w:cs="Times New Roman"/>
          <w:spacing w:val="-6"/>
          <w:highlight w:val="none"/>
        </w:rPr>
        <w:sectPr>
          <w:footerReference r:id="rId10" w:type="default"/>
          <w:pgSz w:w="11906" w:h="16838"/>
          <w:pgMar w:top="567" w:right="567" w:bottom="567" w:left="567" w:header="851" w:footer="992" w:gutter="0"/>
          <w:pgNumType w:fmt="decimal" w:start="1"/>
          <w:cols w:space="0" w:num="1"/>
          <w:rtlGutter w:val="0"/>
          <w:docGrid w:type="lines" w:linePitch="312" w:charSpace="0"/>
        </w:sectPr>
      </w:pPr>
    </w:p>
    <w:tbl>
      <w:tblPr>
        <w:tblStyle w:val="8"/>
        <w:tblpPr w:leftFromText="180" w:rightFromText="180" w:vertAnchor="text" w:horzAnchor="page" w:tblpX="452" w:tblpY="205"/>
        <w:tblOverlap w:val="never"/>
        <w:tblW w:w="107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2"/>
        <w:gridCol w:w="5850"/>
        <w:gridCol w:w="2197"/>
      </w:tblGrid>
      <w:tr w14:paraId="5247E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Align w:val="center"/>
          </w:tcPr>
          <w:p w14:paraId="2ABBDF88">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b/>
                <w:bCs/>
                <w:spacing w:val="-6"/>
                <w:sz w:val="24"/>
                <w:szCs w:val="24"/>
                <w:highlight w:val="none"/>
              </w:rPr>
              <w:t>固定资产类别</w:t>
            </w:r>
          </w:p>
        </w:tc>
        <w:tc>
          <w:tcPr>
            <w:tcW w:w="5850" w:type="dxa"/>
            <w:vAlign w:val="center"/>
          </w:tcPr>
          <w:p w14:paraId="6160230A">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jc w:val="center"/>
              <w:textAlignment w:val="baseline"/>
              <w:rPr>
                <w:rFonts w:hint="default" w:ascii="Times New Roman" w:hAnsi="Times New Roman" w:eastAsia="宋体" w:cs="Times New Roman"/>
                <w:b/>
                <w:bCs/>
                <w:spacing w:val="-6"/>
                <w:sz w:val="24"/>
                <w:szCs w:val="24"/>
                <w:highlight w:val="none"/>
              </w:rPr>
            </w:pPr>
            <w:r>
              <w:rPr>
                <w:rFonts w:hint="default" w:ascii="Times New Roman" w:hAnsi="Times New Roman" w:eastAsia="宋体" w:cs="Times New Roman"/>
                <w:b/>
                <w:bCs/>
                <w:spacing w:val="-6"/>
                <w:sz w:val="24"/>
                <w:szCs w:val="24"/>
                <w:highlight w:val="none"/>
              </w:rPr>
              <w:t>内容</w:t>
            </w:r>
          </w:p>
        </w:tc>
        <w:tc>
          <w:tcPr>
            <w:tcW w:w="2197" w:type="dxa"/>
            <w:vAlign w:val="center"/>
          </w:tcPr>
          <w:p w14:paraId="0B34604B">
            <w:pPr>
              <w:keepNext w:val="0"/>
              <w:keepLines w:val="0"/>
              <w:pageBreakBefore w:val="0"/>
              <w:widowControl w:val="0"/>
              <w:kinsoku w:val="0"/>
              <w:wordWrap/>
              <w:overflowPunct w:val="0"/>
              <w:topLinePunct w:val="0"/>
              <w:autoSpaceDE w:val="0"/>
              <w:autoSpaceDN w:val="0"/>
              <w:bidi w:val="0"/>
              <w:adjustRightInd w:val="0"/>
              <w:snapToGrid w:val="0"/>
              <w:spacing w:line="219" w:lineRule="auto"/>
              <w:ind w:left="0"/>
              <w:jc w:val="center"/>
              <w:textAlignment w:val="baseline"/>
              <w:rPr>
                <w:rFonts w:hint="eastAsia" w:ascii="Times New Roman" w:hAnsi="Times New Roman" w:eastAsia="宋体" w:cs="Times New Roman"/>
                <w:b/>
                <w:bCs/>
                <w:spacing w:val="-6"/>
                <w:sz w:val="24"/>
                <w:szCs w:val="24"/>
                <w:highlight w:val="none"/>
                <w:lang w:eastAsia="zh-CN"/>
              </w:rPr>
            </w:pPr>
            <w:r>
              <w:rPr>
                <w:rFonts w:hint="default" w:ascii="Times New Roman" w:hAnsi="Times New Roman" w:eastAsia="宋体" w:cs="Times New Roman"/>
                <w:b/>
                <w:bCs/>
                <w:spacing w:val="-6"/>
                <w:sz w:val="24"/>
                <w:szCs w:val="24"/>
                <w:highlight w:val="none"/>
              </w:rPr>
              <w:t>可更新年限</w:t>
            </w:r>
            <w:r>
              <w:rPr>
                <w:rFonts w:hint="eastAsia" w:ascii="Times New Roman" w:hAnsi="Times New Roman" w:eastAsia="宋体" w:cs="Times New Roman"/>
                <w:b/>
                <w:bCs/>
                <w:spacing w:val="-6"/>
                <w:sz w:val="24"/>
                <w:szCs w:val="24"/>
                <w:highlight w:val="none"/>
                <w:lang w:eastAsia="zh-CN"/>
              </w:rPr>
              <w:t>（</w:t>
            </w:r>
            <w:r>
              <w:rPr>
                <w:rFonts w:hint="default" w:ascii="Times New Roman" w:hAnsi="Times New Roman" w:eastAsia="宋体" w:cs="Times New Roman"/>
                <w:b/>
                <w:bCs/>
                <w:spacing w:val="-6"/>
                <w:sz w:val="24"/>
                <w:szCs w:val="24"/>
                <w:highlight w:val="none"/>
              </w:rPr>
              <w:t>年</w:t>
            </w:r>
            <w:r>
              <w:rPr>
                <w:rFonts w:hint="eastAsia" w:ascii="Times New Roman" w:hAnsi="Times New Roman" w:eastAsia="宋体" w:cs="Times New Roman"/>
                <w:b/>
                <w:bCs/>
                <w:spacing w:val="-6"/>
                <w:sz w:val="24"/>
                <w:szCs w:val="24"/>
                <w:highlight w:val="none"/>
                <w:lang w:eastAsia="zh-CN"/>
              </w:rPr>
              <w:t>）</w:t>
            </w:r>
          </w:p>
        </w:tc>
      </w:tr>
      <w:tr w14:paraId="150D6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restart"/>
            <w:tcBorders>
              <w:bottom w:val="nil"/>
            </w:tcBorders>
            <w:vAlign w:val="center"/>
          </w:tcPr>
          <w:p w14:paraId="0605D9D9">
            <w:pPr>
              <w:keepNext w:val="0"/>
              <w:keepLines w:val="0"/>
              <w:pageBreakBefore w:val="0"/>
              <w:widowControl w:val="0"/>
              <w:kinsoku w:val="0"/>
              <w:wordWrap/>
              <w:overflowPunct w:val="0"/>
              <w:topLinePunct w:val="0"/>
              <w:autoSpaceDE w:val="0"/>
              <w:autoSpaceDN w:val="0"/>
              <w:bidi w:val="0"/>
              <w:adjustRightInd w:val="0"/>
              <w:snapToGrid w:val="0"/>
              <w:spacing w:line="220"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专用设备</w:t>
            </w:r>
          </w:p>
        </w:tc>
        <w:tc>
          <w:tcPr>
            <w:tcW w:w="5850" w:type="dxa"/>
            <w:vAlign w:val="center"/>
          </w:tcPr>
          <w:p w14:paraId="4297C5DD">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工程机械</w:t>
            </w:r>
          </w:p>
        </w:tc>
        <w:tc>
          <w:tcPr>
            <w:tcW w:w="2197" w:type="dxa"/>
            <w:vAlign w:val="center"/>
          </w:tcPr>
          <w:p w14:paraId="4319C622">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10-15</w:t>
            </w:r>
          </w:p>
        </w:tc>
      </w:tr>
      <w:tr w14:paraId="5D86B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01A49987">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0E008D07">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农业和林业机械</w:t>
            </w:r>
          </w:p>
        </w:tc>
        <w:tc>
          <w:tcPr>
            <w:tcW w:w="2197" w:type="dxa"/>
            <w:vAlign w:val="center"/>
          </w:tcPr>
          <w:p w14:paraId="731606A1">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10-15</w:t>
            </w:r>
          </w:p>
        </w:tc>
      </w:tr>
      <w:tr w14:paraId="5B071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19CA70AC">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68B72548">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木材采集和加工设备</w:t>
            </w:r>
          </w:p>
        </w:tc>
        <w:tc>
          <w:tcPr>
            <w:tcW w:w="2197" w:type="dxa"/>
            <w:vAlign w:val="center"/>
          </w:tcPr>
          <w:p w14:paraId="139BF5E0">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10-15</w:t>
            </w:r>
          </w:p>
        </w:tc>
      </w:tr>
      <w:tr w14:paraId="10711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2524F98D">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15F9397D">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食品加工专用设备</w:t>
            </w:r>
          </w:p>
        </w:tc>
        <w:tc>
          <w:tcPr>
            <w:tcW w:w="2197" w:type="dxa"/>
            <w:vAlign w:val="center"/>
          </w:tcPr>
          <w:p w14:paraId="53402545">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10-15</w:t>
            </w:r>
          </w:p>
        </w:tc>
      </w:tr>
      <w:tr w14:paraId="453E2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080BDA3C">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348321BF">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饮料加工设备</w:t>
            </w:r>
          </w:p>
        </w:tc>
        <w:tc>
          <w:tcPr>
            <w:tcW w:w="2197" w:type="dxa"/>
            <w:vAlign w:val="center"/>
          </w:tcPr>
          <w:p w14:paraId="5FD327F9">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10-15</w:t>
            </w:r>
          </w:p>
        </w:tc>
      </w:tr>
      <w:tr w14:paraId="6355E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3A691BC2">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2EB84FB3">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烟草加工设备</w:t>
            </w:r>
          </w:p>
        </w:tc>
        <w:tc>
          <w:tcPr>
            <w:tcW w:w="2197" w:type="dxa"/>
            <w:vAlign w:val="center"/>
          </w:tcPr>
          <w:p w14:paraId="062A83C4">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10-15</w:t>
            </w:r>
          </w:p>
        </w:tc>
      </w:tr>
      <w:tr w14:paraId="0FAE9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48B2EE58">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1EB46DE6">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粮油作物和饲料加工设备</w:t>
            </w:r>
          </w:p>
        </w:tc>
        <w:tc>
          <w:tcPr>
            <w:tcW w:w="2197" w:type="dxa"/>
            <w:vAlign w:val="center"/>
          </w:tcPr>
          <w:p w14:paraId="047D16BB">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10-15</w:t>
            </w:r>
          </w:p>
        </w:tc>
      </w:tr>
      <w:tr w14:paraId="019A8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7E257CFD">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7A2CCFB6">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纺织设备</w:t>
            </w:r>
          </w:p>
        </w:tc>
        <w:tc>
          <w:tcPr>
            <w:tcW w:w="2197" w:type="dxa"/>
            <w:vAlign w:val="center"/>
          </w:tcPr>
          <w:p w14:paraId="36DA5CAB">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10-15</w:t>
            </w:r>
          </w:p>
        </w:tc>
      </w:tr>
      <w:tr w14:paraId="49673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5B7DA8E7">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65C85A76">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缝纫、服饰、制革和毛皮加工设备</w:t>
            </w:r>
          </w:p>
        </w:tc>
        <w:tc>
          <w:tcPr>
            <w:tcW w:w="2197" w:type="dxa"/>
            <w:vAlign w:val="center"/>
          </w:tcPr>
          <w:p w14:paraId="7B95C088">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10-15</w:t>
            </w:r>
          </w:p>
        </w:tc>
      </w:tr>
      <w:tr w14:paraId="54A59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4DC00548">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54B3CC79">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造纸和印刷机械</w:t>
            </w:r>
          </w:p>
        </w:tc>
        <w:tc>
          <w:tcPr>
            <w:tcW w:w="2197" w:type="dxa"/>
            <w:vAlign w:val="center"/>
          </w:tcPr>
          <w:p w14:paraId="46940169">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10-20</w:t>
            </w:r>
          </w:p>
        </w:tc>
      </w:tr>
      <w:tr w14:paraId="36B0F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0AFAE7B5">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4BD65E9A">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化学药品和中药专用设备</w:t>
            </w:r>
          </w:p>
        </w:tc>
        <w:tc>
          <w:tcPr>
            <w:tcW w:w="2197" w:type="dxa"/>
            <w:vAlign w:val="center"/>
          </w:tcPr>
          <w:p w14:paraId="7DE76057">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5-10</w:t>
            </w:r>
          </w:p>
        </w:tc>
      </w:tr>
      <w:tr w14:paraId="7A21E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2752" w:type="dxa"/>
            <w:vMerge w:val="continue"/>
            <w:tcBorders>
              <w:top w:val="nil"/>
              <w:bottom w:val="nil"/>
            </w:tcBorders>
            <w:vAlign w:val="center"/>
          </w:tcPr>
          <w:p w14:paraId="277A48DF">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0DAABECC">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医疗设备</w:t>
            </w:r>
          </w:p>
        </w:tc>
        <w:tc>
          <w:tcPr>
            <w:tcW w:w="2197" w:type="dxa"/>
            <w:vAlign w:val="center"/>
          </w:tcPr>
          <w:p w14:paraId="0449DF73">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5-10</w:t>
            </w:r>
          </w:p>
        </w:tc>
      </w:tr>
      <w:tr w14:paraId="7C154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793C77F9">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224A1A32">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电工、电子专用生产设备</w:t>
            </w:r>
          </w:p>
        </w:tc>
        <w:tc>
          <w:tcPr>
            <w:tcW w:w="2197" w:type="dxa"/>
            <w:vAlign w:val="center"/>
          </w:tcPr>
          <w:p w14:paraId="08406497">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5-10</w:t>
            </w:r>
          </w:p>
        </w:tc>
      </w:tr>
      <w:tr w14:paraId="5CFF9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472696BA">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0E80D008">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安全生产设备</w:t>
            </w:r>
          </w:p>
        </w:tc>
        <w:tc>
          <w:tcPr>
            <w:tcW w:w="2197" w:type="dxa"/>
            <w:vAlign w:val="center"/>
          </w:tcPr>
          <w:p w14:paraId="42862D21">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10-20</w:t>
            </w:r>
          </w:p>
        </w:tc>
      </w:tr>
      <w:tr w14:paraId="4007C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408FB35B">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703562A1">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邮政专用设备</w:t>
            </w:r>
          </w:p>
        </w:tc>
        <w:tc>
          <w:tcPr>
            <w:tcW w:w="2197" w:type="dxa"/>
            <w:vAlign w:val="center"/>
          </w:tcPr>
          <w:p w14:paraId="6D418001">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10-15</w:t>
            </w:r>
          </w:p>
        </w:tc>
      </w:tr>
      <w:tr w14:paraId="2A007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7629BDF9">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7302365A">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环境污染防治设备</w:t>
            </w:r>
          </w:p>
        </w:tc>
        <w:tc>
          <w:tcPr>
            <w:tcW w:w="2197" w:type="dxa"/>
            <w:vAlign w:val="center"/>
          </w:tcPr>
          <w:p w14:paraId="70EA4AB0">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10-20</w:t>
            </w:r>
          </w:p>
        </w:tc>
      </w:tr>
      <w:tr w14:paraId="43F9B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55E49F80">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223A235E">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公安专用设备</w:t>
            </w:r>
          </w:p>
        </w:tc>
        <w:tc>
          <w:tcPr>
            <w:tcW w:w="2197" w:type="dxa"/>
            <w:vAlign w:val="center"/>
          </w:tcPr>
          <w:p w14:paraId="44FABD1D">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3-10</w:t>
            </w:r>
          </w:p>
        </w:tc>
      </w:tr>
      <w:tr w14:paraId="109EF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203328D8">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06828411">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水工机械</w:t>
            </w:r>
          </w:p>
        </w:tc>
        <w:tc>
          <w:tcPr>
            <w:tcW w:w="2197" w:type="dxa"/>
            <w:vAlign w:val="center"/>
          </w:tcPr>
          <w:p w14:paraId="758619C8">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10-20</w:t>
            </w:r>
          </w:p>
        </w:tc>
      </w:tr>
      <w:tr w14:paraId="036B5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34EB6B63">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1DC821FD">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殡葬设备及用品</w:t>
            </w:r>
          </w:p>
        </w:tc>
        <w:tc>
          <w:tcPr>
            <w:tcW w:w="2197" w:type="dxa"/>
            <w:vAlign w:val="center"/>
          </w:tcPr>
          <w:p w14:paraId="0685D9C6">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5-10</w:t>
            </w:r>
          </w:p>
        </w:tc>
      </w:tr>
      <w:tr w14:paraId="378A9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0BEB618C">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12F57EF7">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铁路运输设备</w:t>
            </w:r>
          </w:p>
        </w:tc>
        <w:tc>
          <w:tcPr>
            <w:tcW w:w="2197" w:type="dxa"/>
            <w:vAlign w:val="center"/>
          </w:tcPr>
          <w:p w14:paraId="3F6A5853">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10-20</w:t>
            </w:r>
          </w:p>
        </w:tc>
      </w:tr>
      <w:tr w14:paraId="4E16C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7412BBC2">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31F2F47E">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水上交通运输设备</w:t>
            </w:r>
          </w:p>
        </w:tc>
        <w:tc>
          <w:tcPr>
            <w:tcW w:w="2197" w:type="dxa"/>
            <w:vAlign w:val="center"/>
          </w:tcPr>
          <w:p w14:paraId="647D2691">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10-20</w:t>
            </w:r>
          </w:p>
        </w:tc>
      </w:tr>
      <w:tr w14:paraId="71D28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4D604C29">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64797013">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航空器及其配套设备</w:t>
            </w:r>
          </w:p>
        </w:tc>
        <w:tc>
          <w:tcPr>
            <w:tcW w:w="2197" w:type="dxa"/>
            <w:vAlign w:val="center"/>
          </w:tcPr>
          <w:p w14:paraId="5D00D206">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10-20</w:t>
            </w:r>
          </w:p>
        </w:tc>
      </w:tr>
      <w:tr w14:paraId="70B6E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631BFDEF">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0DFADD89">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专用仪器仪表</w:t>
            </w:r>
          </w:p>
        </w:tc>
        <w:tc>
          <w:tcPr>
            <w:tcW w:w="2197" w:type="dxa"/>
            <w:vAlign w:val="center"/>
          </w:tcPr>
          <w:p w14:paraId="3FF67BEA">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5-10</w:t>
            </w:r>
          </w:p>
        </w:tc>
      </w:tr>
      <w:tr w14:paraId="641BA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48185247">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0147D507">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文艺设备</w:t>
            </w:r>
          </w:p>
        </w:tc>
        <w:tc>
          <w:tcPr>
            <w:tcW w:w="2197" w:type="dxa"/>
            <w:vAlign w:val="center"/>
          </w:tcPr>
          <w:p w14:paraId="40D729F3">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5-15</w:t>
            </w:r>
          </w:p>
        </w:tc>
      </w:tr>
      <w:tr w14:paraId="7F84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bottom w:val="nil"/>
            </w:tcBorders>
            <w:vAlign w:val="center"/>
          </w:tcPr>
          <w:p w14:paraId="7031619A">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748C22E6">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体育设备</w:t>
            </w:r>
          </w:p>
        </w:tc>
        <w:tc>
          <w:tcPr>
            <w:tcW w:w="2197" w:type="dxa"/>
            <w:vAlign w:val="center"/>
          </w:tcPr>
          <w:p w14:paraId="1712F2DB">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5-15</w:t>
            </w:r>
          </w:p>
        </w:tc>
      </w:tr>
      <w:tr w14:paraId="3DAAE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tcBorders>
            <w:vAlign w:val="center"/>
          </w:tcPr>
          <w:p w14:paraId="6C49FC53">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644EA42A">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娱乐设备</w:t>
            </w:r>
          </w:p>
        </w:tc>
        <w:tc>
          <w:tcPr>
            <w:tcW w:w="2197" w:type="dxa"/>
            <w:vAlign w:val="center"/>
          </w:tcPr>
          <w:p w14:paraId="26C573CB">
            <w:pPr>
              <w:keepNext w:val="0"/>
              <w:keepLines w:val="0"/>
              <w:pageBreakBefore w:val="0"/>
              <w:widowControl w:val="0"/>
              <w:kinsoku w:val="0"/>
              <w:wordWrap/>
              <w:overflowPunct w:val="0"/>
              <w:topLinePunct w:val="0"/>
              <w:autoSpaceDE w:val="0"/>
              <w:autoSpaceDN w:val="0"/>
              <w:bidi w:val="0"/>
              <w:adjustRightInd w:val="0"/>
              <w:snapToGrid w:val="0"/>
              <w:spacing w:line="184" w:lineRule="auto"/>
              <w:ind w:lef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5-15</w:t>
            </w:r>
          </w:p>
        </w:tc>
      </w:tr>
      <w:tr w14:paraId="325D4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restart"/>
            <w:tcBorders>
              <w:bottom w:val="nil"/>
            </w:tcBorders>
            <w:vAlign w:val="center"/>
          </w:tcPr>
          <w:p w14:paraId="36183C8D">
            <w:pPr>
              <w:keepNext w:val="0"/>
              <w:keepLines w:val="0"/>
              <w:pageBreakBefore w:val="0"/>
              <w:widowControl w:val="0"/>
              <w:kinsoku w:val="0"/>
              <w:wordWrap/>
              <w:overflowPunct w:val="0"/>
              <w:topLinePunct w:val="0"/>
              <w:autoSpaceDE w:val="0"/>
              <w:autoSpaceDN w:val="0"/>
              <w:bidi w:val="0"/>
              <w:adjustRightInd w:val="0"/>
              <w:snapToGrid w:val="0"/>
              <w:spacing w:line="284" w:lineRule="auto"/>
              <w:ind w:left="0" w:right="0"/>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家具、用具 及装具</w:t>
            </w:r>
          </w:p>
        </w:tc>
        <w:tc>
          <w:tcPr>
            <w:tcW w:w="5850" w:type="dxa"/>
            <w:vAlign w:val="center"/>
          </w:tcPr>
          <w:p w14:paraId="44F7137E">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家具</w:t>
            </w:r>
          </w:p>
        </w:tc>
        <w:tc>
          <w:tcPr>
            <w:tcW w:w="2197" w:type="dxa"/>
            <w:vAlign w:val="center"/>
          </w:tcPr>
          <w:p w14:paraId="45FFC20B">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不低于15</w:t>
            </w:r>
          </w:p>
        </w:tc>
      </w:tr>
      <w:tr w14:paraId="33A69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752" w:type="dxa"/>
            <w:vMerge w:val="continue"/>
            <w:tcBorders>
              <w:top w:val="nil"/>
            </w:tcBorders>
            <w:vAlign w:val="center"/>
          </w:tcPr>
          <w:p w14:paraId="70A71BFA">
            <w:pPr>
              <w:pStyle w:val="9"/>
              <w:keepNext w:val="0"/>
              <w:keepLines w:val="0"/>
              <w:pageBreakBefore w:val="0"/>
              <w:widowControl w:val="0"/>
              <w:kinsoku w:val="0"/>
              <w:wordWrap/>
              <w:overflowPunct w:val="0"/>
              <w:topLinePunct w:val="0"/>
              <w:autoSpaceDE w:val="0"/>
              <w:autoSpaceDN w:val="0"/>
              <w:bidi w:val="0"/>
              <w:adjustRightInd w:val="0"/>
              <w:snapToGrid w:val="0"/>
              <w:ind w:left="0"/>
              <w:jc w:val="center"/>
              <w:textAlignment w:val="baseline"/>
              <w:rPr>
                <w:rFonts w:hint="default" w:ascii="Times New Roman" w:hAnsi="Times New Roman" w:cs="Times New Roman"/>
                <w:spacing w:val="-6"/>
                <w:sz w:val="24"/>
                <w:szCs w:val="24"/>
                <w:highlight w:val="none"/>
              </w:rPr>
            </w:pPr>
          </w:p>
        </w:tc>
        <w:tc>
          <w:tcPr>
            <w:tcW w:w="5850" w:type="dxa"/>
            <w:vAlign w:val="center"/>
          </w:tcPr>
          <w:p w14:paraId="72DAD84E">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用具、装具</w:t>
            </w:r>
          </w:p>
        </w:tc>
        <w:tc>
          <w:tcPr>
            <w:tcW w:w="2197" w:type="dxa"/>
            <w:vAlign w:val="center"/>
          </w:tcPr>
          <w:p w14:paraId="4A90DBB8">
            <w:pPr>
              <w:keepNext w:val="0"/>
              <w:keepLines w:val="0"/>
              <w:pageBreakBefore w:val="0"/>
              <w:widowControl w:val="0"/>
              <w:kinsoku w:val="0"/>
              <w:wordWrap/>
              <w:overflowPunct w:val="0"/>
              <w:topLinePunct w:val="0"/>
              <w:autoSpaceDE w:val="0"/>
              <w:autoSpaceDN w:val="0"/>
              <w:bidi w:val="0"/>
              <w:adjustRightInd w:val="0"/>
              <w:snapToGrid w:val="0"/>
              <w:spacing w:line="219" w:lineRule="auto"/>
              <w:jc w:val="center"/>
              <w:textAlignment w:val="baseline"/>
              <w:rPr>
                <w:rFonts w:hint="default" w:ascii="Times New Roman" w:hAnsi="Times New Roman" w:eastAsia="宋体" w:cs="Times New Roman"/>
                <w:spacing w:val="-6"/>
                <w:sz w:val="24"/>
                <w:szCs w:val="24"/>
                <w:highlight w:val="none"/>
              </w:rPr>
            </w:pPr>
            <w:r>
              <w:rPr>
                <w:rFonts w:hint="default" w:ascii="Times New Roman" w:hAnsi="Times New Roman" w:eastAsia="宋体" w:cs="Times New Roman"/>
                <w:spacing w:val="-6"/>
                <w:sz w:val="24"/>
                <w:szCs w:val="24"/>
                <w:highlight w:val="none"/>
              </w:rPr>
              <w:t>不低于5</w:t>
            </w:r>
          </w:p>
        </w:tc>
      </w:tr>
    </w:tbl>
    <w:p w14:paraId="5CAD555D">
      <w:pPr>
        <w:pStyle w:val="2"/>
        <w:rPr>
          <w:rFonts w:hint="default" w:ascii="Times New Roman" w:hAnsi="Times New Roman" w:cs="Times New Roman"/>
        </w:rPr>
      </w:pPr>
      <w:r>
        <w:rPr>
          <w:rFonts w:hint="default" w:ascii="Times New Roman" w:hAnsi="Times New Roman" w:eastAsia="宋体" w:cs="Times New Roman"/>
          <w:spacing w:val="-6"/>
          <w:sz w:val="21"/>
          <w:szCs w:val="21"/>
          <w:highlight w:val="none"/>
          <w:lang w:val="en-US" w:eastAsia="zh-CN"/>
        </w:rPr>
        <w:t>此表以财政部《政府会计准则第3号—固定资产》的《政府固定资产折旧年限表》为标准</w:t>
      </w:r>
    </w:p>
    <w:sectPr>
      <w:footerReference r:id="rId11" w:type="default"/>
      <w:pgSz w:w="11906" w:h="16838"/>
      <w:pgMar w:top="567" w:right="567" w:bottom="567" w:left="56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573F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-167005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A463F">
                          <w:pPr>
                            <w:pStyle w:val="4"/>
                            <w:rPr>
                              <w:rFonts w:hint="eastAsia" w:ascii="黑体" w:hAnsi="黑体" w:eastAsia="黑体" w:cs="黑体"/>
                              <w:sz w:val="30"/>
                              <w:szCs w:val="30"/>
                            </w:rPr>
                          </w:pPr>
                          <w:r>
                            <w:rPr>
                              <w:rFonts w:hint="eastAsia" w:ascii="黑体" w:hAnsi="黑体" w:eastAsia="黑体" w:cs="黑体"/>
                              <w:b w:val="0"/>
                              <w:bCs w:val="0"/>
                              <w:sz w:val="30"/>
                              <w:szCs w:val="30"/>
                            </w:rPr>
                            <w:t>—</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fldChar w:fldCharType="begin"/>
                          </w:r>
                          <w:r>
                            <w:rPr>
                              <w:rFonts w:hint="eastAsia" w:ascii="黑体" w:hAnsi="黑体" w:eastAsia="黑体" w:cs="黑体"/>
                              <w:b w:val="0"/>
                              <w:bCs w:val="0"/>
                              <w:sz w:val="30"/>
                              <w:szCs w:val="30"/>
                            </w:rPr>
                            <w:instrText xml:space="preserve"> PAGE  \* MERGEFORMAT </w:instrText>
                          </w:r>
                          <w:r>
                            <w:rPr>
                              <w:rFonts w:hint="eastAsia" w:ascii="黑体" w:hAnsi="黑体" w:eastAsia="黑体" w:cs="黑体"/>
                              <w:b w:val="0"/>
                              <w:bCs w:val="0"/>
                              <w:sz w:val="30"/>
                              <w:szCs w:val="30"/>
                            </w:rPr>
                            <w:fldChar w:fldCharType="separate"/>
                          </w:r>
                          <w:r>
                            <w:rPr>
                              <w:rFonts w:hint="eastAsia" w:ascii="黑体" w:hAnsi="黑体" w:eastAsia="黑体" w:cs="黑体"/>
                              <w:b w:val="0"/>
                              <w:bCs w:val="0"/>
                              <w:sz w:val="30"/>
                              <w:szCs w:val="30"/>
                            </w:rPr>
                            <w:t>2</w:t>
                          </w:r>
                          <w:r>
                            <w:rPr>
                              <w:rFonts w:hint="eastAsia" w:ascii="黑体" w:hAnsi="黑体" w:eastAsia="黑体" w:cs="黑体"/>
                              <w:b w:val="0"/>
                              <w:bCs w:val="0"/>
                              <w:sz w:val="30"/>
                              <w:szCs w:val="30"/>
                            </w:rPr>
                            <w:fldChar w:fldCharType="end"/>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w:t>
                          </w:r>
                        </w:p>
                        <w:p w14:paraId="45803ECF">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15pt;height:144pt;width:144pt;mso-position-horizontal:outside;mso-position-horizontal-relative:margin;mso-wrap-style:none;z-index:251659264;mso-width-relative:page;mso-height-relative:page;" filled="f" stroked="f" coordsize="21600,21600" o:gfxdata="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Ui38t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009A463F">
                    <w:pPr>
                      <w:pStyle w:val="4"/>
                      <w:rPr>
                        <w:rFonts w:hint="eastAsia" w:ascii="黑体" w:hAnsi="黑体" w:eastAsia="黑体" w:cs="黑体"/>
                        <w:sz w:val="30"/>
                        <w:szCs w:val="30"/>
                      </w:rPr>
                    </w:pPr>
                    <w:r>
                      <w:rPr>
                        <w:rFonts w:hint="eastAsia" w:ascii="黑体" w:hAnsi="黑体" w:eastAsia="黑体" w:cs="黑体"/>
                        <w:b w:val="0"/>
                        <w:bCs w:val="0"/>
                        <w:sz w:val="30"/>
                        <w:szCs w:val="30"/>
                      </w:rPr>
                      <w:t>—</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fldChar w:fldCharType="begin"/>
                    </w:r>
                    <w:r>
                      <w:rPr>
                        <w:rFonts w:hint="eastAsia" w:ascii="黑体" w:hAnsi="黑体" w:eastAsia="黑体" w:cs="黑体"/>
                        <w:b w:val="0"/>
                        <w:bCs w:val="0"/>
                        <w:sz w:val="30"/>
                        <w:szCs w:val="30"/>
                      </w:rPr>
                      <w:instrText xml:space="preserve"> PAGE  \* MERGEFORMAT </w:instrText>
                    </w:r>
                    <w:r>
                      <w:rPr>
                        <w:rFonts w:hint="eastAsia" w:ascii="黑体" w:hAnsi="黑体" w:eastAsia="黑体" w:cs="黑体"/>
                        <w:b w:val="0"/>
                        <w:bCs w:val="0"/>
                        <w:sz w:val="30"/>
                        <w:szCs w:val="30"/>
                      </w:rPr>
                      <w:fldChar w:fldCharType="separate"/>
                    </w:r>
                    <w:r>
                      <w:rPr>
                        <w:rFonts w:hint="eastAsia" w:ascii="黑体" w:hAnsi="黑体" w:eastAsia="黑体" w:cs="黑体"/>
                        <w:b w:val="0"/>
                        <w:bCs w:val="0"/>
                        <w:sz w:val="30"/>
                        <w:szCs w:val="30"/>
                      </w:rPr>
                      <w:t>2</w:t>
                    </w:r>
                    <w:r>
                      <w:rPr>
                        <w:rFonts w:hint="eastAsia" w:ascii="黑体" w:hAnsi="黑体" w:eastAsia="黑体" w:cs="黑体"/>
                        <w:b w:val="0"/>
                        <w:bCs w:val="0"/>
                        <w:sz w:val="30"/>
                        <w:szCs w:val="30"/>
                      </w:rPr>
                      <w:fldChar w:fldCharType="end"/>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w:t>
                    </w:r>
                  </w:p>
                  <w:p w14:paraId="45803ECF">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A5EE8">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-68580</wp:posOffset>
              </wp:positionH>
              <wp:positionV relativeFrom="paragraph">
                <wp:posOffset>-415925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04E52">
                          <w:pPr>
                            <w:pStyle w:val="4"/>
                            <w:rPr>
                              <w:rFonts w:hint="eastAsia" w:ascii="黑体" w:hAnsi="黑体" w:eastAsia="黑体" w:cs="黑体"/>
                              <w:sz w:val="30"/>
                              <w:szCs w:val="30"/>
                            </w:rPr>
                          </w:pPr>
                          <w:r>
                            <w:rPr>
                              <w:rFonts w:hint="eastAsia" w:ascii="黑体" w:hAnsi="黑体" w:eastAsia="黑体" w:cs="黑体"/>
                              <w:b w:val="0"/>
                              <w:bCs w:val="0"/>
                              <w:sz w:val="30"/>
                              <w:szCs w:val="30"/>
                            </w:rPr>
                            <w:t>—</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fldChar w:fldCharType="begin"/>
                          </w:r>
                          <w:r>
                            <w:rPr>
                              <w:rFonts w:hint="eastAsia" w:ascii="黑体" w:hAnsi="黑体" w:eastAsia="黑体" w:cs="黑体"/>
                              <w:b w:val="0"/>
                              <w:bCs w:val="0"/>
                              <w:sz w:val="30"/>
                              <w:szCs w:val="30"/>
                            </w:rPr>
                            <w:instrText xml:space="preserve"> PAGE  \* MERGEFORMAT </w:instrText>
                          </w:r>
                          <w:r>
                            <w:rPr>
                              <w:rFonts w:hint="eastAsia" w:ascii="黑体" w:hAnsi="黑体" w:eastAsia="黑体" w:cs="黑体"/>
                              <w:b w:val="0"/>
                              <w:bCs w:val="0"/>
                              <w:sz w:val="30"/>
                              <w:szCs w:val="30"/>
                            </w:rPr>
                            <w:fldChar w:fldCharType="separate"/>
                          </w:r>
                          <w:r>
                            <w:rPr>
                              <w:rFonts w:hint="eastAsia" w:ascii="黑体" w:hAnsi="黑体" w:eastAsia="黑体" w:cs="黑体"/>
                              <w:b w:val="0"/>
                              <w:bCs w:val="0"/>
                              <w:sz w:val="30"/>
                              <w:szCs w:val="30"/>
                            </w:rPr>
                            <w:t>2</w:t>
                          </w:r>
                          <w:r>
                            <w:rPr>
                              <w:rFonts w:hint="eastAsia" w:ascii="黑体" w:hAnsi="黑体" w:eastAsia="黑体" w:cs="黑体"/>
                              <w:b w:val="0"/>
                              <w:bCs w:val="0"/>
                              <w:sz w:val="30"/>
                              <w:szCs w:val="30"/>
                            </w:rPr>
                            <w:fldChar w:fldCharType="end"/>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w:t>
                          </w:r>
                        </w:p>
                        <w:p w14:paraId="3A6AE917">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4pt;margin-top:-32.75pt;height:144pt;width:144pt;mso-position-horizontal-relative:margin;mso-wrap-style:none;z-index:251660288;mso-width-relative:page;mso-height-relative:page;" filled="f" stroked="f" coordsize="21600,21600" o:gfxdata="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aXrk3YAAAACwEAAA8AAAAAAAAAAQAgAAAAIgAAAGRycy9kb3ducmV2Lnht&#10;bFBLAQIUABQAAAAIAIdO4kC6jDgrMgIAAGEEAAAOAAAAAAAAAAEAIAAAACcBAABkcnMvZTJvRG9j&#10;LnhtbFBLBQYAAAAABgAGAFkBAADLBQAAAAA=&#10;">
              <v:fill on="f" focussize="0,0"/>
              <v:stroke on="f" weight="0.5pt"/>
              <v:imagedata o:title=""/>
              <o:lock v:ext="edit" aspectratio="f"/>
              <v:textbox inset="0mm,0mm,0mm,0mm" style="mso-fit-shape-to-text:t;">
                <w:txbxContent>
                  <w:p w14:paraId="20404E52">
                    <w:pPr>
                      <w:pStyle w:val="4"/>
                      <w:rPr>
                        <w:rFonts w:hint="eastAsia" w:ascii="黑体" w:hAnsi="黑体" w:eastAsia="黑体" w:cs="黑体"/>
                        <w:sz w:val="30"/>
                        <w:szCs w:val="30"/>
                      </w:rPr>
                    </w:pPr>
                    <w:r>
                      <w:rPr>
                        <w:rFonts w:hint="eastAsia" w:ascii="黑体" w:hAnsi="黑体" w:eastAsia="黑体" w:cs="黑体"/>
                        <w:b w:val="0"/>
                        <w:bCs w:val="0"/>
                        <w:sz w:val="30"/>
                        <w:szCs w:val="30"/>
                      </w:rPr>
                      <w:t>—</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fldChar w:fldCharType="begin"/>
                    </w:r>
                    <w:r>
                      <w:rPr>
                        <w:rFonts w:hint="eastAsia" w:ascii="黑体" w:hAnsi="黑体" w:eastAsia="黑体" w:cs="黑体"/>
                        <w:b w:val="0"/>
                        <w:bCs w:val="0"/>
                        <w:sz w:val="30"/>
                        <w:szCs w:val="30"/>
                      </w:rPr>
                      <w:instrText xml:space="preserve"> PAGE  \* MERGEFORMAT </w:instrText>
                    </w:r>
                    <w:r>
                      <w:rPr>
                        <w:rFonts w:hint="eastAsia" w:ascii="黑体" w:hAnsi="黑体" w:eastAsia="黑体" w:cs="黑体"/>
                        <w:b w:val="0"/>
                        <w:bCs w:val="0"/>
                        <w:sz w:val="30"/>
                        <w:szCs w:val="30"/>
                      </w:rPr>
                      <w:fldChar w:fldCharType="separate"/>
                    </w:r>
                    <w:r>
                      <w:rPr>
                        <w:rFonts w:hint="eastAsia" w:ascii="黑体" w:hAnsi="黑体" w:eastAsia="黑体" w:cs="黑体"/>
                        <w:b w:val="0"/>
                        <w:bCs w:val="0"/>
                        <w:sz w:val="30"/>
                        <w:szCs w:val="30"/>
                      </w:rPr>
                      <w:t>2</w:t>
                    </w:r>
                    <w:r>
                      <w:rPr>
                        <w:rFonts w:hint="eastAsia" w:ascii="黑体" w:hAnsi="黑体" w:eastAsia="黑体" w:cs="黑体"/>
                        <w:b w:val="0"/>
                        <w:bCs w:val="0"/>
                        <w:sz w:val="30"/>
                        <w:szCs w:val="30"/>
                      </w:rPr>
                      <w:fldChar w:fldCharType="end"/>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w:t>
                    </w:r>
                  </w:p>
                  <w:p w14:paraId="3A6AE917">
                    <w:pPr>
                      <w:pStyle w:val="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013C6">
    <w:pPr>
      <w:pStyle w:val="4"/>
    </w:pPr>
    <w:r>
      <w:rPr>
        <w:sz w:val="18"/>
      </w:rPr>
      <mc:AlternateContent>
        <mc:Choice Requires="wps">
          <w:drawing>
            <wp:anchor distT="0" distB="0" distL="114300" distR="114300" simplePos="0" relativeHeight="251661312" behindDoc="0" locked="0" layoutInCell="1" allowOverlap="1">
              <wp:simplePos x="0" y="0"/>
              <wp:positionH relativeFrom="margin">
                <wp:posOffset>9288780</wp:posOffset>
              </wp:positionH>
              <wp:positionV relativeFrom="paragraph">
                <wp:posOffset>-3175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769EF">
                          <w:pPr>
                            <w:pStyle w:val="4"/>
                            <w:rPr>
                              <w:rFonts w:hint="eastAsia" w:ascii="黑体" w:hAnsi="黑体" w:eastAsia="黑体" w:cs="黑体"/>
                              <w:sz w:val="30"/>
                              <w:szCs w:val="30"/>
                            </w:rPr>
                          </w:pPr>
                          <w:r>
                            <w:rPr>
                              <w:rFonts w:hint="eastAsia" w:ascii="黑体" w:hAnsi="黑体" w:eastAsia="黑体" w:cs="黑体"/>
                              <w:b w:val="0"/>
                              <w:bCs w:val="0"/>
                              <w:sz w:val="30"/>
                              <w:szCs w:val="30"/>
                            </w:rPr>
                            <w:t>—</w:t>
                          </w:r>
                          <w:r>
                            <w:rPr>
                              <w:rFonts w:hint="eastAsia" w:ascii="黑体" w:hAnsi="黑体" w:eastAsia="黑体" w:cs="黑体"/>
                              <w:b w:val="0"/>
                              <w:bCs w:val="0"/>
                              <w:sz w:val="30"/>
                              <w:szCs w:val="30"/>
                              <w:lang w:val="en-US" w:eastAsia="zh-CN"/>
                            </w:rPr>
                            <w:t xml:space="preserve"> 2</w:t>
                          </w:r>
                          <w:r>
                            <w:rPr>
                              <w:rFonts w:hint="eastAsia" w:ascii="黑体" w:hAnsi="黑体" w:eastAsia="黑体" w:cs="黑体"/>
                              <w:b w:val="0"/>
                              <w:bCs w:val="0"/>
                              <w:sz w:val="30"/>
                              <w:szCs w:val="30"/>
                            </w:rPr>
                            <w:fldChar w:fldCharType="begin"/>
                          </w:r>
                          <w:r>
                            <w:rPr>
                              <w:rFonts w:hint="eastAsia" w:ascii="黑体" w:hAnsi="黑体" w:eastAsia="黑体" w:cs="黑体"/>
                              <w:b w:val="0"/>
                              <w:bCs w:val="0"/>
                              <w:sz w:val="30"/>
                              <w:szCs w:val="30"/>
                            </w:rPr>
                            <w:instrText xml:space="preserve"> PAGE  \* MERGEFORMAT </w:instrText>
                          </w:r>
                          <w:r>
                            <w:rPr>
                              <w:rFonts w:hint="eastAsia" w:ascii="黑体" w:hAnsi="黑体" w:eastAsia="黑体" w:cs="黑体"/>
                              <w:b w:val="0"/>
                              <w:bCs w:val="0"/>
                              <w:sz w:val="30"/>
                              <w:szCs w:val="30"/>
                            </w:rPr>
                            <w:fldChar w:fldCharType="separate"/>
                          </w:r>
                          <w:r>
                            <w:rPr>
                              <w:rFonts w:hint="eastAsia" w:ascii="黑体" w:hAnsi="黑体" w:eastAsia="黑体" w:cs="黑体"/>
                              <w:b w:val="0"/>
                              <w:bCs w:val="0"/>
                              <w:sz w:val="30"/>
                              <w:szCs w:val="30"/>
                            </w:rPr>
                            <w:t>2</w:t>
                          </w:r>
                          <w:r>
                            <w:rPr>
                              <w:rFonts w:hint="eastAsia" w:ascii="黑体" w:hAnsi="黑体" w:eastAsia="黑体" w:cs="黑体"/>
                              <w:b w:val="0"/>
                              <w:bCs w:val="0"/>
                              <w:sz w:val="30"/>
                              <w:szCs w:val="30"/>
                            </w:rPr>
                            <w:fldChar w:fldCharType="end"/>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w:t>
                          </w:r>
                        </w:p>
                        <w:p w14:paraId="71EAA365">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31.4pt;margin-top:-0.25pt;height:144pt;width:144pt;mso-position-horizontal-relative:margin;mso-wrap-style:none;z-index:251661312;mso-width-relative:page;mso-height-relative:page;" filled="f" stroked="f" coordsize="21600,21600" o:gfxdata="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W898rYAAAACwEAAA8AAAAAAAAAAQAgAAAAIgAAAGRycy9kb3ducmV2Lnht&#10;bFBLAQIUABQAAAAIAIdO4kD1i4dkMgIAAGEEAAAOAAAAAAAAAAEAIAAAACcBAABkcnMvZTJvRG9j&#10;LnhtbFBLBQYAAAAABgAGAFkBAADLBQAAAAA=&#10;">
              <v:fill on="f" focussize="0,0"/>
              <v:stroke on="f" weight="0.5pt"/>
              <v:imagedata o:title=""/>
              <o:lock v:ext="edit" aspectratio="f"/>
              <v:textbox inset="0mm,0mm,0mm,0mm" style="mso-fit-shape-to-text:t;">
                <w:txbxContent>
                  <w:p w14:paraId="10A769EF">
                    <w:pPr>
                      <w:pStyle w:val="4"/>
                      <w:rPr>
                        <w:rFonts w:hint="eastAsia" w:ascii="黑体" w:hAnsi="黑体" w:eastAsia="黑体" w:cs="黑体"/>
                        <w:sz w:val="30"/>
                        <w:szCs w:val="30"/>
                      </w:rPr>
                    </w:pPr>
                    <w:r>
                      <w:rPr>
                        <w:rFonts w:hint="eastAsia" w:ascii="黑体" w:hAnsi="黑体" w:eastAsia="黑体" w:cs="黑体"/>
                        <w:b w:val="0"/>
                        <w:bCs w:val="0"/>
                        <w:sz w:val="30"/>
                        <w:szCs w:val="30"/>
                      </w:rPr>
                      <w:t>—</w:t>
                    </w:r>
                    <w:r>
                      <w:rPr>
                        <w:rFonts w:hint="eastAsia" w:ascii="黑体" w:hAnsi="黑体" w:eastAsia="黑体" w:cs="黑体"/>
                        <w:b w:val="0"/>
                        <w:bCs w:val="0"/>
                        <w:sz w:val="30"/>
                        <w:szCs w:val="30"/>
                        <w:lang w:val="en-US" w:eastAsia="zh-CN"/>
                      </w:rPr>
                      <w:t xml:space="preserve"> 2</w:t>
                    </w:r>
                    <w:r>
                      <w:rPr>
                        <w:rFonts w:hint="eastAsia" w:ascii="黑体" w:hAnsi="黑体" w:eastAsia="黑体" w:cs="黑体"/>
                        <w:b w:val="0"/>
                        <w:bCs w:val="0"/>
                        <w:sz w:val="30"/>
                        <w:szCs w:val="30"/>
                      </w:rPr>
                      <w:fldChar w:fldCharType="begin"/>
                    </w:r>
                    <w:r>
                      <w:rPr>
                        <w:rFonts w:hint="eastAsia" w:ascii="黑体" w:hAnsi="黑体" w:eastAsia="黑体" w:cs="黑体"/>
                        <w:b w:val="0"/>
                        <w:bCs w:val="0"/>
                        <w:sz w:val="30"/>
                        <w:szCs w:val="30"/>
                      </w:rPr>
                      <w:instrText xml:space="preserve"> PAGE  \* MERGEFORMAT </w:instrText>
                    </w:r>
                    <w:r>
                      <w:rPr>
                        <w:rFonts w:hint="eastAsia" w:ascii="黑体" w:hAnsi="黑体" w:eastAsia="黑体" w:cs="黑体"/>
                        <w:b w:val="0"/>
                        <w:bCs w:val="0"/>
                        <w:sz w:val="30"/>
                        <w:szCs w:val="30"/>
                      </w:rPr>
                      <w:fldChar w:fldCharType="separate"/>
                    </w:r>
                    <w:r>
                      <w:rPr>
                        <w:rFonts w:hint="eastAsia" w:ascii="黑体" w:hAnsi="黑体" w:eastAsia="黑体" w:cs="黑体"/>
                        <w:b w:val="0"/>
                        <w:bCs w:val="0"/>
                        <w:sz w:val="30"/>
                        <w:szCs w:val="30"/>
                      </w:rPr>
                      <w:t>2</w:t>
                    </w:r>
                    <w:r>
                      <w:rPr>
                        <w:rFonts w:hint="eastAsia" w:ascii="黑体" w:hAnsi="黑体" w:eastAsia="黑体" w:cs="黑体"/>
                        <w:b w:val="0"/>
                        <w:bCs w:val="0"/>
                        <w:sz w:val="30"/>
                        <w:szCs w:val="30"/>
                      </w:rPr>
                      <w:fldChar w:fldCharType="end"/>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w:t>
                    </w:r>
                  </w:p>
                  <w:p w14:paraId="71EAA365">
                    <w:pPr>
                      <w:pStyle w:val="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87C0C">
    <w:pPr>
      <w:pStyle w:val="3"/>
      <w:spacing w:line="179" w:lineRule="auto"/>
      <w:ind w:left="10854"/>
      <w:rPr>
        <w:sz w:val="46"/>
        <w:szCs w:val="46"/>
      </w:rPr>
    </w:pPr>
    <w:r>
      <w:rPr>
        <w:rFonts w:ascii="Times New Roman" w:hAnsi="Times New Roman" w:eastAsia="宋体" w:cs="Times New Roman"/>
        <w:sz w:val="18"/>
      </w:rPr>
      <mc:AlternateContent>
        <mc:Choice Requires="wps">
          <w:drawing>
            <wp:anchor distT="0" distB="0" distL="114300" distR="114300" simplePos="0" relativeHeight="251662336" behindDoc="0" locked="0" layoutInCell="1" allowOverlap="1">
              <wp:simplePos x="0" y="0"/>
              <wp:positionH relativeFrom="margin">
                <wp:posOffset>4699000</wp:posOffset>
              </wp:positionH>
              <wp:positionV relativeFrom="paragraph">
                <wp:posOffset>314325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025BB7">
                          <w:pPr>
                            <w:snapToGrid w:val="0"/>
                            <w:jc w:val="left"/>
                            <w:rPr>
                              <w:rFonts w:hint="eastAsia" w:ascii="黑体" w:hAnsi="黑体" w:eastAsia="黑体" w:cs="黑体"/>
                              <w:sz w:val="30"/>
                              <w:szCs w:val="30"/>
                            </w:rPr>
                          </w:pPr>
                          <w:r>
                            <w:rPr>
                              <w:rFonts w:hint="eastAsia" w:ascii="黑体" w:hAnsi="黑体" w:eastAsia="黑体" w:cs="黑体"/>
                              <w:b w:val="0"/>
                              <w:bCs w:val="0"/>
                              <w:sz w:val="30"/>
                              <w:szCs w:val="30"/>
                            </w:rPr>
                            <w:t>—</w:t>
                          </w:r>
                          <w:r>
                            <w:rPr>
                              <w:rFonts w:hint="eastAsia" w:ascii="黑体" w:hAnsi="黑体" w:eastAsia="黑体" w:cs="黑体"/>
                              <w:b w:val="0"/>
                              <w:bCs w:val="0"/>
                              <w:sz w:val="30"/>
                              <w:szCs w:val="30"/>
                              <w:lang w:val="en-US" w:eastAsia="zh-CN"/>
                            </w:rPr>
                            <w:t xml:space="preserve"> 22 </w:t>
                          </w:r>
                          <w:r>
                            <w:rPr>
                              <w:rFonts w:hint="eastAsia" w:ascii="黑体" w:hAnsi="黑体" w:eastAsia="黑体" w:cs="黑体"/>
                              <w:b w:val="0"/>
                              <w:bCs w:val="0"/>
                              <w:sz w:val="30"/>
                              <w:szCs w:val="30"/>
                            </w:rPr>
                            <w:t>—</w:t>
                          </w:r>
                        </w:p>
                        <w:p w14:paraId="4F301D0A">
                          <w:pPr>
                            <w:snapToGrid w:val="0"/>
                            <w:jc w:val="left"/>
                            <w:rPr>
                              <w:rFonts w:ascii="Times New Roman" w:hAnsi="Times New Roman" w:eastAsia="宋体" w:cs="Times New Roman"/>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0pt;margin-top:24.75pt;height:144pt;width:144pt;mso-position-horizontal-relative:margin;mso-wrap-style:none;z-index:251662336;mso-width-relative:page;mso-height-relative:page;" filled="f" stroked="f" coordsize="21600,21600" o:gfxdata="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yVnyvYAAAACwEAAA8AAAAAAAAAAQAgAAAAIgAAAGRycy9kb3du&#10;cmV2LnhtbFBLAQIUABQAAAAIAIdO4kD/PwNHOAIAAG8EAAAOAAAAAAAAAAEAIAAAACcBAABkcnMv&#10;ZTJvRG9jLnhtbFBLBQYAAAAABgAGAFkBAADRBQAAAAA=&#10;">
              <v:fill on="f" focussize="0,0"/>
              <v:stroke on="f" weight="0.5pt"/>
              <v:imagedata o:title=""/>
              <o:lock v:ext="edit" aspectratio="f"/>
              <v:textbox inset="0mm,0mm,0mm,0mm" style="mso-fit-shape-to-text:t;">
                <w:txbxContent>
                  <w:p w14:paraId="30025BB7">
                    <w:pPr>
                      <w:snapToGrid w:val="0"/>
                      <w:jc w:val="left"/>
                      <w:rPr>
                        <w:rFonts w:hint="eastAsia" w:ascii="黑体" w:hAnsi="黑体" w:eastAsia="黑体" w:cs="黑体"/>
                        <w:sz w:val="30"/>
                        <w:szCs w:val="30"/>
                      </w:rPr>
                    </w:pPr>
                    <w:r>
                      <w:rPr>
                        <w:rFonts w:hint="eastAsia" w:ascii="黑体" w:hAnsi="黑体" w:eastAsia="黑体" w:cs="黑体"/>
                        <w:b w:val="0"/>
                        <w:bCs w:val="0"/>
                        <w:sz w:val="30"/>
                        <w:szCs w:val="30"/>
                      </w:rPr>
                      <w:t>—</w:t>
                    </w:r>
                    <w:r>
                      <w:rPr>
                        <w:rFonts w:hint="eastAsia" w:ascii="黑体" w:hAnsi="黑体" w:eastAsia="黑体" w:cs="黑体"/>
                        <w:b w:val="0"/>
                        <w:bCs w:val="0"/>
                        <w:sz w:val="30"/>
                        <w:szCs w:val="30"/>
                        <w:lang w:val="en-US" w:eastAsia="zh-CN"/>
                      </w:rPr>
                      <w:t xml:space="preserve"> 22 </w:t>
                    </w:r>
                    <w:r>
                      <w:rPr>
                        <w:rFonts w:hint="eastAsia" w:ascii="黑体" w:hAnsi="黑体" w:eastAsia="黑体" w:cs="黑体"/>
                        <w:b w:val="0"/>
                        <w:bCs w:val="0"/>
                        <w:sz w:val="30"/>
                        <w:szCs w:val="30"/>
                      </w:rPr>
                      <w:t>—</w:t>
                    </w:r>
                  </w:p>
                  <w:p w14:paraId="4F301D0A">
                    <w:pPr>
                      <w:snapToGrid w:val="0"/>
                      <w:jc w:val="left"/>
                      <w:rPr>
                        <w:rFonts w:ascii="Times New Roman" w:hAnsi="Times New Roman" w:eastAsia="宋体" w:cs="Times New Roman"/>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A3163">
    <w:pPr>
      <w:pStyle w:val="3"/>
      <w:spacing w:line="179" w:lineRule="auto"/>
      <w:ind w:left="10854"/>
      <w:rPr>
        <w:sz w:val="46"/>
        <w:szCs w:val="46"/>
      </w:rPr>
    </w:pPr>
    <w:r>
      <w:rPr>
        <w:rFonts w:ascii="Times New Roman" w:hAnsi="Times New Roman" w:eastAsia="宋体" w:cs="Times New Roman"/>
        <w:sz w:val="18"/>
      </w:rPr>
      <mc:AlternateContent>
        <mc:Choice Requires="wps">
          <w:drawing>
            <wp:anchor distT="0" distB="0" distL="114300" distR="114300" simplePos="0" relativeHeight="251664384" behindDoc="0" locked="0" layoutInCell="1" allowOverlap="1">
              <wp:simplePos x="0" y="0"/>
              <wp:positionH relativeFrom="margin">
                <wp:posOffset>3175</wp:posOffset>
              </wp:positionH>
              <wp:positionV relativeFrom="paragraph">
                <wp:posOffset>314325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045847">
                          <w:pPr>
                            <w:snapToGrid w:val="0"/>
                            <w:jc w:val="left"/>
                            <w:rPr>
                              <w:rFonts w:hint="eastAsia" w:ascii="黑体" w:hAnsi="黑体" w:eastAsia="黑体" w:cs="黑体"/>
                              <w:sz w:val="30"/>
                              <w:szCs w:val="30"/>
                            </w:rPr>
                          </w:pPr>
                          <w:r>
                            <w:rPr>
                              <w:rFonts w:hint="eastAsia" w:ascii="黑体" w:hAnsi="黑体" w:eastAsia="黑体" w:cs="黑体"/>
                              <w:b w:val="0"/>
                              <w:bCs w:val="0"/>
                              <w:sz w:val="30"/>
                              <w:szCs w:val="30"/>
                            </w:rPr>
                            <w:t>—</w:t>
                          </w:r>
                          <w:r>
                            <w:rPr>
                              <w:rFonts w:hint="eastAsia" w:ascii="黑体" w:hAnsi="黑体" w:eastAsia="黑体" w:cs="黑体"/>
                              <w:b w:val="0"/>
                              <w:bCs w:val="0"/>
                              <w:sz w:val="30"/>
                              <w:szCs w:val="30"/>
                              <w:lang w:val="en-US" w:eastAsia="zh-CN"/>
                            </w:rPr>
                            <w:t xml:space="preserve"> 23 </w:t>
                          </w:r>
                          <w:r>
                            <w:rPr>
                              <w:rFonts w:hint="eastAsia" w:ascii="黑体" w:hAnsi="黑体" w:eastAsia="黑体" w:cs="黑体"/>
                              <w:b w:val="0"/>
                              <w:bCs w:val="0"/>
                              <w:sz w:val="30"/>
                              <w:szCs w:val="30"/>
                            </w:rPr>
                            <w:t>—</w:t>
                          </w:r>
                        </w:p>
                        <w:p w14:paraId="5B24C9C5">
                          <w:pPr>
                            <w:snapToGrid w:val="0"/>
                            <w:jc w:val="left"/>
                            <w:rPr>
                              <w:rFonts w:ascii="Times New Roman" w:hAnsi="Times New Roman" w:eastAsia="宋体" w:cs="Times New Roman"/>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25pt;margin-top:24.75pt;height:144pt;width:144pt;mso-position-horizontal-relative:margin;mso-wrap-style:none;z-index:251664384;mso-width-relative:page;mso-height-relative:page;" filled="f" stroked="f" coordsize="21600,21600" o:gfxdata="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eUJkNUAAAAHAQAADwAAAAAAAAABACAAAAAiAAAAZHJzL2Rvd25yZXYu&#10;eG1sUEsBAhQAFAAAAAgAh07iQNqMvz03AgAAbwQAAA4AAAAAAAAAAQAgAAAAJAEAAGRycy9lMm9E&#10;b2MueG1sUEsFBgAAAAAGAAYAWQEAAM0FAAAAAA==&#10;">
              <v:fill on="f" focussize="0,0"/>
              <v:stroke on="f" weight="0.5pt"/>
              <v:imagedata o:title=""/>
              <o:lock v:ext="edit" aspectratio="f"/>
              <v:textbox inset="0mm,0mm,0mm,0mm" style="mso-fit-shape-to-text:t;">
                <w:txbxContent>
                  <w:p w14:paraId="1F045847">
                    <w:pPr>
                      <w:snapToGrid w:val="0"/>
                      <w:jc w:val="left"/>
                      <w:rPr>
                        <w:rFonts w:hint="eastAsia" w:ascii="黑体" w:hAnsi="黑体" w:eastAsia="黑体" w:cs="黑体"/>
                        <w:sz w:val="30"/>
                        <w:szCs w:val="30"/>
                      </w:rPr>
                    </w:pPr>
                    <w:r>
                      <w:rPr>
                        <w:rFonts w:hint="eastAsia" w:ascii="黑体" w:hAnsi="黑体" w:eastAsia="黑体" w:cs="黑体"/>
                        <w:b w:val="0"/>
                        <w:bCs w:val="0"/>
                        <w:sz w:val="30"/>
                        <w:szCs w:val="30"/>
                      </w:rPr>
                      <w:t>—</w:t>
                    </w:r>
                    <w:r>
                      <w:rPr>
                        <w:rFonts w:hint="eastAsia" w:ascii="黑体" w:hAnsi="黑体" w:eastAsia="黑体" w:cs="黑体"/>
                        <w:b w:val="0"/>
                        <w:bCs w:val="0"/>
                        <w:sz w:val="30"/>
                        <w:szCs w:val="30"/>
                        <w:lang w:val="en-US" w:eastAsia="zh-CN"/>
                      </w:rPr>
                      <w:t xml:space="preserve"> 23 </w:t>
                    </w:r>
                    <w:r>
                      <w:rPr>
                        <w:rFonts w:hint="eastAsia" w:ascii="黑体" w:hAnsi="黑体" w:eastAsia="黑体" w:cs="黑体"/>
                        <w:b w:val="0"/>
                        <w:bCs w:val="0"/>
                        <w:sz w:val="30"/>
                        <w:szCs w:val="30"/>
                      </w:rPr>
                      <w:t>—</w:t>
                    </w:r>
                  </w:p>
                  <w:p w14:paraId="5B24C9C5">
                    <w:pPr>
                      <w:snapToGrid w:val="0"/>
                      <w:jc w:val="left"/>
                      <w:rPr>
                        <w:rFonts w:ascii="Times New Roman" w:hAnsi="Times New Roman" w:eastAsia="宋体" w:cs="Times New Roman"/>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7FBAC">
    <w:pPr>
      <w:pStyle w:val="3"/>
      <w:spacing w:line="179" w:lineRule="auto"/>
      <w:ind w:left="10854"/>
      <w:rPr>
        <w:sz w:val="46"/>
        <w:szCs w:val="46"/>
      </w:rPr>
    </w:pPr>
    <w:r>
      <w:rPr>
        <w:rFonts w:ascii="Times New Roman" w:hAnsi="Times New Roman" w:eastAsia="宋体" w:cs="Times New Roman"/>
        <w:sz w:val="18"/>
      </w:rPr>
      <mc:AlternateContent>
        <mc:Choice Requires="wps">
          <w:drawing>
            <wp:anchor distT="0" distB="0" distL="114300" distR="114300" simplePos="0" relativeHeight="251663360" behindDoc="0" locked="0" layoutInCell="1" allowOverlap="1">
              <wp:simplePos x="0" y="0"/>
              <wp:positionH relativeFrom="margin">
                <wp:posOffset>9118600</wp:posOffset>
              </wp:positionH>
              <wp:positionV relativeFrom="paragraph">
                <wp:posOffset>314325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258987">
                          <w:pPr>
                            <w:snapToGrid w:val="0"/>
                            <w:jc w:val="left"/>
                            <w:rPr>
                              <w:rFonts w:hint="eastAsia" w:ascii="黑体" w:hAnsi="黑体" w:eastAsia="黑体" w:cs="黑体"/>
                              <w:sz w:val="30"/>
                              <w:szCs w:val="30"/>
                            </w:rPr>
                          </w:pPr>
                          <w:r>
                            <w:rPr>
                              <w:rFonts w:hint="eastAsia" w:ascii="黑体" w:hAnsi="黑体" w:eastAsia="黑体" w:cs="黑体"/>
                              <w:b w:val="0"/>
                              <w:bCs w:val="0"/>
                              <w:sz w:val="30"/>
                              <w:szCs w:val="30"/>
                            </w:rPr>
                            <w:t>—</w:t>
                          </w:r>
                          <w:r>
                            <w:rPr>
                              <w:rFonts w:hint="eastAsia" w:ascii="黑体" w:hAnsi="黑体" w:eastAsia="黑体" w:cs="黑体"/>
                              <w:b w:val="0"/>
                              <w:bCs w:val="0"/>
                              <w:sz w:val="30"/>
                              <w:szCs w:val="30"/>
                              <w:lang w:val="en-US" w:eastAsia="zh-CN"/>
                            </w:rPr>
                            <w:t xml:space="preserve"> 24 </w:t>
                          </w:r>
                          <w:r>
                            <w:rPr>
                              <w:rFonts w:hint="eastAsia" w:ascii="黑体" w:hAnsi="黑体" w:eastAsia="黑体" w:cs="黑体"/>
                              <w:b w:val="0"/>
                              <w:bCs w:val="0"/>
                              <w:sz w:val="30"/>
                              <w:szCs w:val="30"/>
                            </w:rPr>
                            <w:t>—</w:t>
                          </w:r>
                        </w:p>
                        <w:p w14:paraId="15AFDD57">
                          <w:pPr>
                            <w:snapToGrid w:val="0"/>
                            <w:jc w:val="left"/>
                            <w:rPr>
                              <w:rFonts w:ascii="Times New Roman" w:hAnsi="Times New Roman" w:eastAsia="宋体" w:cs="Times New Roman"/>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18pt;margin-top:24.75pt;height:144pt;width:144pt;mso-position-horizontal-relative:margin;mso-wrap-style:none;z-index:251663360;mso-width-relative:page;mso-height-relative:page;" filled="f" stroked="f" coordsize="21600,21600" o:gfxdata="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WDcQh2QAAAAwBAAAPAAAAAAAAAAEAIAAAACIAAABkcnMvZG93&#10;bnJldi54bWxQSwECFAAUAAAACACHTuJAOeIrFDgCAABvBAAADgAAAAAAAAABACAAAAAoAQAAZHJz&#10;L2Uyb0RvYy54bWxQSwUGAAAAAAYABgBZAQAA0gUAAAAA&#10;">
              <v:fill on="f" focussize="0,0"/>
              <v:stroke on="f" weight="0.5pt"/>
              <v:imagedata o:title=""/>
              <o:lock v:ext="edit" aspectratio="f"/>
              <v:textbox inset="0mm,0mm,0mm,0mm" style="mso-fit-shape-to-text:t;">
                <w:txbxContent>
                  <w:p w14:paraId="31258987">
                    <w:pPr>
                      <w:snapToGrid w:val="0"/>
                      <w:jc w:val="left"/>
                      <w:rPr>
                        <w:rFonts w:hint="eastAsia" w:ascii="黑体" w:hAnsi="黑体" w:eastAsia="黑体" w:cs="黑体"/>
                        <w:sz w:val="30"/>
                        <w:szCs w:val="30"/>
                      </w:rPr>
                    </w:pPr>
                    <w:r>
                      <w:rPr>
                        <w:rFonts w:hint="eastAsia" w:ascii="黑体" w:hAnsi="黑体" w:eastAsia="黑体" w:cs="黑体"/>
                        <w:b w:val="0"/>
                        <w:bCs w:val="0"/>
                        <w:sz w:val="30"/>
                        <w:szCs w:val="30"/>
                      </w:rPr>
                      <w:t>—</w:t>
                    </w:r>
                    <w:r>
                      <w:rPr>
                        <w:rFonts w:hint="eastAsia" w:ascii="黑体" w:hAnsi="黑体" w:eastAsia="黑体" w:cs="黑体"/>
                        <w:b w:val="0"/>
                        <w:bCs w:val="0"/>
                        <w:sz w:val="30"/>
                        <w:szCs w:val="30"/>
                        <w:lang w:val="en-US" w:eastAsia="zh-CN"/>
                      </w:rPr>
                      <w:t xml:space="preserve"> 24 </w:t>
                    </w:r>
                    <w:r>
                      <w:rPr>
                        <w:rFonts w:hint="eastAsia" w:ascii="黑体" w:hAnsi="黑体" w:eastAsia="黑体" w:cs="黑体"/>
                        <w:b w:val="0"/>
                        <w:bCs w:val="0"/>
                        <w:sz w:val="30"/>
                        <w:szCs w:val="30"/>
                      </w:rPr>
                      <w:t>—</w:t>
                    </w:r>
                  </w:p>
                  <w:p w14:paraId="15AFDD57">
                    <w:pPr>
                      <w:snapToGrid w:val="0"/>
                      <w:jc w:val="left"/>
                      <w:rPr>
                        <w:rFonts w:ascii="Times New Roman" w:hAnsi="Times New Roman" w:eastAsia="宋体" w:cs="Times New Roman"/>
                        <w:sz w:val="1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721B5">
    <w:pPr>
      <w:pStyle w:val="3"/>
      <w:spacing w:line="179" w:lineRule="auto"/>
      <w:ind w:left="10854"/>
      <w:rPr>
        <w:sz w:val="46"/>
        <w:szCs w:val="46"/>
      </w:rPr>
    </w:pPr>
    <w:r>
      <w:rPr>
        <w:rFonts w:ascii="Times New Roman" w:hAnsi="Times New Roman" w:eastAsia="宋体" w:cs="Times New Roman"/>
        <w:sz w:val="18"/>
      </w:rPr>
      <mc:AlternateContent>
        <mc:Choice Requires="wps">
          <w:drawing>
            <wp:anchor distT="0" distB="0" distL="114300" distR="114300" simplePos="0" relativeHeight="251665408" behindDoc="0" locked="0" layoutInCell="1" allowOverlap="1">
              <wp:simplePos x="0" y="0"/>
              <wp:positionH relativeFrom="margin">
                <wp:posOffset>40005</wp:posOffset>
              </wp:positionH>
              <wp:positionV relativeFrom="paragraph">
                <wp:posOffset>111125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448C2">
                          <w:pPr>
                            <w:snapToGrid w:val="0"/>
                            <w:jc w:val="left"/>
                            <w:rPr>
                              <w:rFonts w:hint="eastAsia" w:ascii="黑体" w:hAnsi="黑体" w:eastAsia="黑体" w:cs="黑体"/>
                              <w:sz w:val="30"/>
                              <w:szCs w:val="30"/>
                            </w:rPr>
                          </w:pPr>
                          <w:r>
                            <w:rPr>
                              <w:rFonts w:hint="eastAsia" w:ascii="黑体" w:hAnsi="黑体" w:eastAsia="黑体" w:cs="黑体"/>
                              <w:b w:val="0"/>
                              <w:bCs w:val="0"/>
                              <w:sz w:val="30"/>
                              <w:szCs w:val="30"/>
                            </w:rPr>
                            <w:t>—</w:t>
                          </w:r>
                          <w:r>
                            <w:rPr>
                              <w:rFonts w:hint="eastAsia" w:ascii="黑体" w:hAnsi="黑体" w:eastAsia="黑体" w:cs="黑体"/>
                              <w:b w:val="0"/>
                              <w:bCs w:val="0"/>
                              <w:sz w:val="30"/>
                              <w:szCs w:val="30"/>
                              <w:lang w:val="en-US" w:eastAsia="zh-CN"/>
                            </w:rPr>
                            <w:t xml:space="preserve"> 25 </w:t>
                          </w:r>
                          <w:r>
                            <w:rPr>
                              <w:rFonts w:hint="eastAsia" w:ascii="黑体" w:hAnsi="黑体" w:eastAsia="黑体" w:cs="黑体"/>
                              <w:b w:val="0"/>
                              <w:bCs w:val="0"/>
                              <w:sz w:val="30"/>
                              <w:szCs w:val="30"/>
                            </w:rPr>
                            <w:t>—</w:t>
                          </w:r>
                        </w:p>
                        <w:p w14:paraId="3B2E2DFC">
                          <w:pPr>
                            <w:snapToGrid w:val="0"/>
                            <w:jc w:val="left"/>
                            <w:rPr>
                              <w:rFonts w:ascii="Times New Roman" w:hAnsi="Times New Roman" w:eastAsia="宋体" w:cs="Times New Roman"/>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15pt;margin-top:8.75pt;height:144pt;width:144pt;mso-position-horizontal-relative:margin;mso-wrap-style:none;z-index:251665408;mso-width-relative:page;mso-height-relative:page;" filled="f" stroked="f" coordsize="21600,21600" o:gfxdata="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LDcF/WAAAACAEAAA8AAAAAAAAAAQAgAAAAIgAAAGRycy9kb3ducmV2&#10;LnhtbFBLAQIUABQAAAAIAIdO4kAUfPaqNwIAAG8EAAAOAAAAAAAAAAEAIAAAACUBAABkcnMvZTJv&#10;RG9jLnhtbFBLBQYAAAAABgAGAFkBAADOBQAAAAA=&#10;">
              <v:fill on="f" focussize="0,0"/>
              <v:stroke on="f" weight="0.5pt"/>
              <v:imagedata o:title=""/>
              <o:lock v:ext="edit" aspectratio="f"/>
              <v:textbox inset="0mm,0mm,0mm,0mm" style="mso-fit-shape-to-text:t;">
                <w:txbxContent>
                  <w:p w14:paraId="135448C2">
                    <w:pPr>
                      <w:snapToGrid w:val="0"/>
                      <w:jc w:val="left"/>
                      <w:rPr>
                        <w:rFonts w:hint="eastAsia" w:ascii="黑体" w:hAnsi="黑体" w:eastAsia="黑体" w:cs="黑体"/>
                        <w:sz w:val="30"/>
                        <w:szCs w:val="30"/>
                      </w:rPr>
                    </w:pPr>
                    <w:r>
                      <w:rPr>
                        <w:rFonts w:hint="eastAsia" w:ascii="黑体" w:hAnsi="黑体" w:eastAsia="黑体" w:cs="黑体"/>
                        <w:b w:val="0"/>
                        <w:bCs w:val="0"/>
                        <w:sz w:val="30"/>
                        <w:szCs w:val="30"/>
                      </w:rPr>
                      <w:t>—</w:t>
                    </w:r>
                    <w:r>
                      <w:rPr>
                        <w:rFonts w:hint="eastAsia" w:ascii="黑体" w:hAnsi="黑体" w:eastAsia="黑体" w:cs="黑体"/>
                        <w:b w:val="0"/>
                        <w:bCs w:val="0"/>
                        <w:sz w:val="30"/>
                        <w:szCs w:val="30"/>
                        <w:lang w:val="en-US" w:eastAsia="zh-CN"/>
                      </w:rPr>
                      <w:t xml:space="preserve"> 25 </w:t>
                    </w:r>
                    <w:r>
                      <w:rPr>
                        <w:rFonts w:hint="eastAsia" w:ascii="黑体" w:hAnsi="黑体" w:eastAsia="黑体" w:cs="黑体"/>
                        <w:b w:val="0"/>
                        <w:bCs w:val="0"/>
                        <w:sz w:val="30"/>
                        <w:szCs w:val="30"/>
                      </w:rPr>
                      <w:t>—</w:t>
                    </w:r>
                  </w:p>
                  <w:p w14:paraId="3B2E2DFC">
                    <w:pPr>
                      <w:snapToGrid w:val="0"/>
                      <w:jc w:val="left"/>
                      <w:rPr>
                        <w:rFonts w:ascii="Times New Roman" w:hAnsi="Times New Roman" w:eastAsia="宋体" w:cs="Times New Roman"/>
                        <w:sz w:val="1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D191">
    <w:pPr>
      <w:pStyle w:val="3"/>
      <w:spacing w:line="179" w:lineRule="auto"/>
      <w:ind w:left="10854"/>
      <w:rPr>
        <w:sz w:val="46"/>
        <w:szCs w:val="46"/>
      </w:rPr>
    </w:pPr>
    <w:r>
      <w:rPr>
        <w:rFonts w:ascii="Times New Roman" w:hAnsi="Times New Roman" w:eastAsia="宋体" w:cs="Times New Roman"/>
        <w:sz w:val="18"/>
      </w:rPr>
      <mc:AlternateContent>
        <mc:Choice Requires="wps">
          <w:drawing>
            <wp:anchor distT="0" distB="0" distL="114300" distR="114300" simplePos="0" relativeHeight="251666432" behindDoc="0" locked="0" layoutInCell="1" allowOverlap="1">
              <wp:simplePos x="0" y="0"/>
              <wp:positionH relativeFrom="margin">
                <wp:posOffset>5993130</wp:posOffset>
              </wp:positionH>
              <wp:positionV relativeFrom="paragraph">
                <wp:posOffset>111125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D04E97">
                          <w:pPr>
                            <w:snapToGrid w:val="0"/>
                            <w:jc w:val="left"/>
                            <w:rPr>
                              <w:rFonts w:hint="eastAsia" w:ascii="黑体" w:hAnsi="黑体" w:eastAsia="黑体" w:cs="黑体"/>
                              <w:sz w:val="30"/>
                              <w:szCs w:val="30"/>
                            </w:rPr>
                          </w:pPr>
                          <w:r>
                            <w:rPr>
                              <w:rFonts w:hint="eastAsia" w:ascii="黑体" w:hAnsi="黑体" w:eastAsia="黑体" w:cs="黑体"/>
                              <w:b w:val="0"/>
                              <w:bCs w:val="0"/>
                              <w:sz w:val="30"/>
                              <w:szCs w:val="30"/>
                            </w:rPr>
                            <w:t>—</w:t>
                          </w:r>
                          <w:r>
                            <w:rPr>
                              <w:rFonts w:hint="eastAsia" w:ascii="黑体" w:hAnsi="黑体" w:eastAsia="黑体" w:cs="黑体"/>
                              <w:b w:val="0"/>
                              <w:bCs w:val="0"/>
                              <w:sz w:val="30"/>
                              <w:szCs w:val="30"/>
                              <w:lang w:val="en-US" w:eastAsia="zh-CN"/>
                            </w:rPr>
                            <w:t xml:space="preserve"> 26 </w:t>
                          </w:r>
                          <w:r>
                            <w:rPr>
                              <w:rFonts w:hint="eastAsia" w:ascii="黑体" w:hAnsi="黑体" w:eastAsia="黑体" w:cs="黑体"/>
                              <w:b w:val="0"/>
                              <w:bCs w:val="0"/>
                              <w:sz w:val="30"/>
                              <w:szCs w:val="30"/>
                            </w:rPr>
                            <w:t>—</w:t>
                          </w:r>
                        </w:p>
                        <w:p w14:paraId="0F2D5B84">
                          <w:pPr>
                            <w:snapToGrid w:val="0"/>
                            <w:jc w:val="left"/>
                            <w:rPr>
                              <w:rFonts w:ascii="Times New Roman" w:hAnsi="Times New Roman" w:eastAsia="宋体" w:cs="Times New Roman"/>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1.9pt;margin-top:8.75pt;height:144pt;width:144pt;mso-position-horizontal-relative:margin;mso-wrap-style:none;z-index:251666432;mso-width-relative:page;mso-height-relative:page;" filled="f" stroked="f" coordsize="21600,21600" o:gfxdata="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BQPabYAAAACwEAAA8AAAAAAAAAAQAgAAAAIgAAAGRycy9kb3du&#10;cmV2LnhtbFBLAQIUABQAAAAIAIdO4kC1WXqyOAIAAG8EAAAOAAAAAAAAAAEAIAAAACcBAABkcnMv&#10;ZTJvRG9jLnhtbFBLBQYAAAAABgAGAFkBAADRBQAAAAA=&#10;">
              <v:fill on="f" focussize="0,0"/>
              <v:stroke on="f" weight="0.5pt"/>
              <v:imagedata o:title=""/>
              <o:lock v:ext="edit" aspectratio="f"/>
              <v:textbox inset="0mm,0mm,0mm,0mm" style="mso-fit-shape-to-text:t;">
                <w:txbxContent>
                  <w:p w14:paraId="4FD04E97">
                    <w:pPr>
                      <w:snapToGrid w:val="0"/>
                      <w:jc w:val="left"/>
                      <w:rPr>
                        <w:rFonts w:hint="eastAsia" w:ascii="黑体" w:hAnsi="黑体" w:eastAsia="黑体" w:cs="黑体"/>
                        <w:sz w:val="30"/>
                        <w:szCs w:val="30"/>
                      </w:rPr>
                    </w:pPr>
                    <w:r>
                      <w:rPr>
                        <w:rFonts w:hint="eastAsia" w:ascii="黑体" w:hAnsi="黑体" w:eastAsia="黑体" w:cs="黑体"/>
                        <w:b w:val="0"/>
                        <w:bCs w:val="0"/>
                        <w:sz w:val="30"/>
                        <w:szCs w:val="30"/>
                      </w:rPr>
                      <w:t>—</w:t>
                    </w:r>
                    <w:r>
                      <w:rPr>
                        <w:rFonts w:hint="eastAsia" w:ascii="黑体" w:hAnsi="黑体" w:eastAsia="黑体" w:cs="黑体"/>
                        <w:b w:val="0"/>
                        <w:bCs w:val="0"/>
                        <w:sz w:val="30"/>
                        <w:szCs w:val="30"/>
                        <w:lang w:val="en-US" w:eastAsia="zh-CN"/>
                      </w:rPr>
                      <w:t xml:space="preserve"> 26 </w:t>
                    </w:r>
                    <w:r>
                      <w:rPr>
                        <w:rFonts w:hint="eastAsia" w:ascii="黑体" w:hAnsi="黑体" w:eastAsia="黑体" w:cs="黑体"/>
                        <w:b w:val="0"/>
                        <w:bCs w:val="0"/>
                        <w:sz w:val="30"/>
                        <w:szCs w:val="30"/>
                      </w:rPr>
                      <w:t>—</w:t>
                    </w:r>
                  </w:p>
                  <w:p w14:paraId="0F2D5B84">
                    <w:pPr>
                      <w:snapToGrid w:val="0"/>
                      <w:jc w:val="left"/>
                      <w:rPr>
                        <w:rFonts w:ascii="Times New Roman" w:hAnsi="Times New Roman" w:eastAsia="宋体" w:cs="Times New Roman"/>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BE412">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69B00"/>
    <w:multiLevelType w:val="singleLevel"/>
    <w:tmpl w:val="FBC69B00"/>
    <w:lvl w:ilvl="0" w:tentative="0">
      <w:start w:val="1"/>
      <w:numFmt w:val="decimal"/>
      <w:suff w:val="nothing"/>
      <w:lvlText w:val="%1、"/>
      <w:lvlJc w:val="left"/>
    </w:lvl>
  </w:abstractNum>
  <w:abstractNum w:abstractNumId="1">
    <w:nsid w:val="4CFF9D3B"/>
    <w:multiLevelType w:val="singleLevel"/>
    <w:tmpl w:val="4CFF9D3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6DA3"/>
    <w:rsid w:val="01596A01"/>
    <w:rsid w:val="0448605F"/>
    <w:rsid w:val="05283923"/>
    <w:rsid w:val="071F2378"/>
    <w:rsid w:val="07480A14"/>
    <w:rsid w:val="08F87790"/>
    <w:rsid w:val="09266454"/>
    <w:rsid w:val="09AC184D"/>
    <w:rsid w:val="0B957041"/>
    <w:rsid w:val="0D0D56FE"/>
    <w:rsid w:val="0DA24EF8"/>
    <w:rsid w:val="0E0248B1"/>
    <w:rsid w:val="0E56174C"/>
    <w:rsid w:val="0E863967"/>
    <w:rsid w:val="0F007A27"/>
    <w:rsid w:val="10435DE7"/>
    <w:rsid w:val="1066305F"/>
    <w:rsid w:val="122C4729"/>
    <w:rsid w:val="127363F8"/>
    <w:rsid w:val="12ED0635"/>
    <w:rsid w:val="131F7E9C"/>
    <w:rsid w:val="134516E1"/>
    <w:rsid w:val="139E2B7B"/>
    <w:rsid w:val="14593607"/>
    <w:rsid w:val="147234DF"/>
    <w:rsid w:val="14C77D37"/>
    <w:rsid w:val="151E6C22"/>
    <w:rsid w:val="151F3448"/>
    <w:rsid w:val="15474D46"/>
    <w:rsid w:val="1689635A"/>
    <w:rsid w:val="17942BA8"/>
    <w:rsid w:val="17A15A0B"/>
    <w:rsid w:val="19C725DC"/>
    <w:rsid w:val="1ABD2416"/>
    <w:rsid w:val="1BC51D5E"/>
    <w:rsid w:val="1C2D0AB9"/>
    <w:rsid w:val="1CDB4ADE"/>
    <w:rsid w:val="1CEF3E83"/>
    <w:rsid w:val="1D8642D5"/>
    <w:rsid w:val="1DB93DE6"/>
    <w:rsid w:val="1DE1136E"/>
    <w:rsid w:val="1E2A3284"/>
    <w:rsid w:val="1EB90F20"/>
    <w:rsid w:val="1FAA3447"/>
    <w:rsid w:val="20B15DE7"/>
    <w:rsid w:val="214163B9"/>
    <w:rsid w:val="21DA5DC0"/>
    <w:rsid w:val="22F86D64"/>
    <w:rsid w:val="23B14A0D"/>
    <w:rsid w:val="2581523E"/>
    <w:rsid w:val="26C30756"/>
    <w:rsid w:val="26DC5B78"/>
    <w:rsid w:val="288555A9"/>
    <w:rsid w:val="28B72697"/>
    <w:rsid w:val="28DD5CA8"/>
    <w:rsid w:val="29B42C36"/>
    <w:rsid w:val="29F12942"/>
    <w:rsid w:val="2A6C5819"/>
    <w:rsid w:val="2B23135F"/>
    <w:rsid w:val="2B483DBF"/>
    <w:rsid w:val="2B7F6B4B"/>
    <w:rsid w:val="2B981DF3"/>
    <w:rsid w:val="2C226EC8"/>
    <w:rsid w:val="2CA27763"/>
    <w:rsid w:val="2CA627F1"/>
    <w:rsid w:val="2D1F67AE"/>
    <w:rsid w:val="2D572E70"/>
    <w:rsid w:val="2E84089C"/>
    <w:rsid w:val="2EA05921"/>
    <w:rsid w:val="2EA57F31"/>
    <w:rsid w:val="2EE2319B"/>
    <w:rsid w:val="2EE71958"/>
    <w:rsid w:val="303059EF"/>
    <w:rsid w:val="314957B5"/>
    <w:rsid w:val="325637ED"/>
    <w:rsid w:val="32BA2B02"/>
    <w:rsid w:val="337D5124"/>
    <w:rsid w:val="339E5A72"/>
    <w:rsid w:val="359C4342"/>
    <w:rsid w:val="37635687"/>
    <w:rsid w:val="3779679F"/>
    <w:rsid w:val="37E14D1B"/>
    <w:rsid w:val="394B148C"/>
    <w:rsid w:val="39657124"/>
    <w:rsid w:val="39EB2638"/>
    <w:rsid w:val="3AF05445"/>
    <w:rsid w:val="3B3C787E"/>
    <w:rsid w:val="3BC01E16"/>
    <w:rsid w:val="3C4730A1"/>
    <w:rsid w:val="3CED1DA9"/>
    <w:rsid w:val="3CFD4F50"/>
    <w:rsid w:val="3F237E46"/>
    <w:rsid w:val="40291863"/>
    <w:rsid w:val="42A345C0"/>
    <w:rsid w:val="42E2784E"/>
    <w:rsid w:val="42E83D66"/>
    <w:rsid w:val="42F20E59"/>
    <w:rsid w:val="43574DED"/>
    <w:rsid w:val="435D6AEB"/>
    <w:rsid w:val="437B1FD9"/>
    <w:rsid w:val="43CE4A2A"/>
    <w:rsid w:val="452D591E"/>
    <w:rsid w:val="46095A4C"/>
    <w:rsid w:val="46297193"/>
    <w:rsid w:val="46C93711"/>
    <w:rsid w:val="46E86E6F"/>
    <w:rsid w:val="47B95E82"/>
    <w:rsid w:val="49A61D64"/>
    <w:rsid w:val="49BF4AE9"/>
    <w:rsid w:val="4AF04AAA"/>
    <w:rsid w:val="4B942912"/>
    <w:rsid w:val="4C1D4583"/>
    <w:rsid w:val="4DB45DF0"/>
    <w:rsid w:val="4E861FFE"/>
    <w:rsid w:val="4F362254"/>
    <w:rsid w:val="4FE82146"/>
    <w:rsid w:val="512C28A5"/>
    <w:rsid w:val="535A100A"/>
    <w:rsid w:val="53BF03F6"/>
    <w:rsid w:val="55486150"/>
    <w:rsid w:val="5574115A"/>
    <w:rsid w:val="55B61960"/>
    <w:rsid w:val="55E3524F"/>
    <w:rsid w:val="56673CBE"/>
    <w:rsid w:val="57C325FB"/>
    <w:rsid w:val="57FF7026"/>
    <w:rsid w:val="586B6E48"/>
    <w:rsid w:val="58D67C3E"/>
    <w:rsid w:val="5A4E0252"/>
    <w:rsid w:val="5ABD1988"/>
    <w:rsid w:val="5AFE5F18"/>
    <w:rsid w:val="5BFF7D87"/>
    <w:rsid w:val="5C9649E8"/>
    <w:rsid w:val="5D5A52C7"/>
    <w:rsid w:val="5DF9063C"/>
    <w:rsid w:val="5E100812"/>
    <w:rsid w:val="60900DED"/>
    <w:rsid w:val="60950E14"/>
    <w:rsid w:val="62744FBB"/>
    <w:rsid w:val="631738D7"/>
    <w:rsid w:val="63631195"/>
    <w:rsid w:val="64CC2A3F"/>
    <w:rsid w:val="64D771FD"/>
    <w:rsid w:val="64DE058B"/>
    <w:rsid w:val="655E2AAC"/>
    <w:rsid w:val="656F5214"/>
    <w:rsid w:val="65AE3CBE"/>
    <w:rsid w:val="672D07C8"/>
    <w:rsid w:val="67522489"/>
    <w:rsid w:val="69C823FA"/>
    <w:rsid w:val="6A512AE0"/>
    <w:rsid w:val="6B1B7768"/>
    <w:rsid w:val="6BD13F49"/>
    <w:rsid w:val="6C806253"/>
    <w:rsid w:val="6CEC1A35"/>
    <w:rsid w:val="6D0216F4"/>
    <w:rsid w:val="6D150588"/>
    <w:rsid w:val="6DB6299D"/>
    <w:rsid w:val="6EAF63DD"/>
    <w:rsid w:val="6F290BB4"/>
    <w:rsid w:val="6F63625D"/>
    <w:rsid w:val="70462140"/>
    <w:rsid w:val="7053782B"/>
    <w:rsid w:val="70C32653"/>
    <w:rsid w:val="714C57E0"/>
    <w:rsid w:val="71D1650B"/>
    <w:rsid w:val="72AA3CF5"/>
    <w:rsid w:val="735C1995"/>
    <w:rsid w:val="73722DEC"/>
    <w:rsid w:val="74C36115"/>
    <w:rsid w:val="769F41EE"/>
    <w:rsid w:val="76FB36A5"/>
    <w:rsid w:val="79825780"/>
    <w:rsid w:val="7B1A3E9F"/>
    <w:rsid w:val="7C231538"/>
    <w:rsid w:val="7C935A2E"/>
    <w:rsid w:val="7E656482"/>
    <w:rsid w:val="7F645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line="413" w:lineRule="auto"/>
      <w:outlineLvl w:val="1"/>
    </w:pPr>
    <w:rPr>
      <w:rFonts w:ascii="DejaVu Sans" w:hAnsi="DejaVu Sans"/>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102"/>
      <w:szCs w:val="10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9673</Words>
  <Characters>9808</Characters>
  <Lines>0</Lines>
  <Paragraphs>0</Paragraphs>
  <TotalTime>20</TotalTime>
  <ScaleCrop>false</ScaleCrop>
  <LinksUpToDate>false</LinksUpToDate>
  <CharactersWithSpaces>10177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2025-02-13T03:57:00Z</dcterms:created>
  <dc:creator>Administrator</dc:creator>
  <cp:lastModifiedBy>WPS_1754901865</cp:lastModifiedBy>
  <cp:lastPrinted>2025-05-21T03:50:00Z</cp:lastPrinted>
  <dcterms:modified xsi:type="dcterms:W3CDTF">2025-08-25T07:11:38Z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eyJoZGlkIjoiOWVlMDViMzg2MDkzY2MwOTE3OTkzMzViYmNmMzNjZmYiLCJ1c2VySWQiOiIxNzI2MzU5NzQ2In0=</vt:lpwstr>
  </property>
  <property fmtid="{D5CDD505-2E9C-101B-9397-08002B2CF9AE}" pid="4" name="ICV">
    <vt:lpwstr>AF3C7BF608444237A6DCFBCA727FF5B3_13</vt:lpwstr>
  </property>
</Properties>
</file>