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加装电梯对原有建筑消防安全证明</w:t>
      </w:r>
      <w:r>
        <w:rPr>
          <w:sz w:val="36"/>
          <w:szCs w:val="36"/>
        </w:rPr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>湛江市霞山区文明西路9号安居楼6门</w:t>
      </w:r>
      <w:r>
        <w:rPr>
          <w:sz w:val="32"/>
          <w:szCs w:val="32"/>
        </w:rPr>
        <w:t>加装电梯</w:t>
      </w:r>
      <w:r>
        <w:rPr>
          <w:sz w:val="32"/>
          <w:szCs w:val="32"/>
        </w:rPr>
        <w:t>，是利新建连廊作为电梯前室，连廊净宽2</w:t>
      </w:r>
      <w:r>
        <w:rPr>
          <w:sz w:val="32"/>
          <w:szCs w:val="32"/>
        </w:rPr>
        <w:t>.2</w:t>
      </w:r>
      <w:r>
        <w:rPr>
          <w:sz w:val="32"/>
          <w:szCs w:val="32"/>
        </w:rPr>
        <w:t>4米，长为2.30米，连廊两边围护结构设置了大于3平方米窗，作为自然通风电梯前室，能满足建筑防火设计规范的有关要求，并且本设计未对原有消防设施作任何改动。特此证明本项目加装电梯后是满足消防安全要求的。</w:t>
      </w:r>
      <w:r>
        <w:rPr>
          <w:sz w:val="32"/>
          <w:szCs w:val="32"/>
        </w:rPr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</w:t>
      </w:r>
      <w:r>
        <w:rPr>
          <w:sz w:val="32"/>
          <w:szCs w:val="32"/>
        </w:rPr>
        <w:t>中瀚设计集团有限公司</w:t>
      </w:r>
      <w:r>
        <w:rPr>
          <w:sz w:val="32"/>
          <w:szCs w:val="32"/>
        </w:rPr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202</w:t>
      </w:r>
      <w:r>
        <w:rPr>
          <w:sz w:val="32"/>
          <w:szCs w:val="32"/>
        </w:rPr>
        <w:t>5年3月</w:t>
      </w:r>
      <w:r>
        <w:rPr>
          <w:sz w:val="32"/>
          <w:szCs w:val="32"/>
        </w:rPr>
        <w:t>2</w:t>
      </w:r>
      <w:r>
        <w:rPr>
          <w:sz w:val="32"/>
          <w:szCs w:val="32"/>
        </w:rPr>
        <w:t>7日</w:t>
      </w:r>
      <w:r>
        <w:rPr>
          <w:sz w:val="32"/>
          <w:szCs w:val="32"/>
        </w:rPr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p>
      <w:pPr>
        <w:rPr>
          <w:sz w:val="32"/>
          <w:szCs w:val="32"/>
        </w:rPr>
      </w:pPr>
      <w:r/>
      <w:bookmarkStart w:id="0" w:name="_GoBack"/>
      <w:bookmarkEnd w:id="0"/>
      <w:r/>
      <w:r>
        <w:rPr>
          <w:sz w:val="32"/>
          <w:szCs w:val="32"/>
        </w:rPr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p>
      <w:pPr>
        <w:tabs>
          <w:tab w:val="left" w:pos="5430" w:leader="none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p>
      <w:pPr>
        <w:rPr>
          <w:sz w:val="32"/>
          <w:szCs w:val="32"/>
        </w:rPr>
      </w:pPr>
      <w:r>
        <w:rPr>
          <w:sz w:val="32"/>
          <w:szCs w:val="32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800" w:top="1440" w:right="1800" w:bottom="1440"/>
      <w:paperSrc w:first="0" w:other="0"/>
      <w:tmSection w:h="-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等线">
    <w:panose1 w:val="02010600030101010101"/>
    <w:charset w:val="86"/>
    <w:family w:val="auto"/>
    <w:pitch w:val="default"/>
  </w:font>
  <w:font w:name="等线 Light">
    <w:panose1 w:val="02010600030101010101"/>
    <w:charset w:val="86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420"/>
  <w:autoHyphenation w:val="0"/>
  <w:doNotShadeFormData w:val="0"/>
  <w:captions>
    <w:caption w:name="表格" w:pos="below" w:numFmt="decimal"/>
    <w:caption w:name="图解" w:pos="below" w:numFmt="decimal"/>
    <w:caption w:name="图片" w:pos="below" w:numFmt="decimal"/>
  </w:captions>
  <w:drawingGridHorizontalSpacing w:val="18546688"/>
  <w:drawingGridVerticalSpacing w:val="156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ExpandShiftReturn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609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"/>
      <w:tmLastPosIdx w:val="45"/>
    </w:tmLastPosCaret>
    <w:tmLastPosAnchor>
      <w:tmLastPosPgfIdx w:val="0"/>
      <w:tmLastPosIdx w:val="0"/>
    </w:tmLastPosAnchor>
    <w:tmLastPosTblRect w:left="0" w:top="0" w:right="0" w:bottom="0"/>
    <w:tmAppRevision w:date="1743124713" w:val="694"/>
  </w:tmLastPo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hAnsi="等线" w:eastAsia="等线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character" w:styleId="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等线" w:hAnsi="等线" w:eastAsia="等线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character" w:styleId="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等线"/>
        <a:ea typeface="等线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2012 rev.694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/>
  <cp:revision>12</cp:revision>
  <dcterms:created xsi:type="dcterms:W3CDTF">2023-04-23T06:54:00Z</dcterms:created>
  <dcterms:modified xsi:type="dcterms:W3CDTF">2025-03-28T09:18:33Z</dcterms:modified>
</cp:coreProperties>
</file>