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eastAsia="仿宋_GB2312"/>
          <w:sz w:val="32"/>
          <w:szCs w:val="32"/>
        </w:rPr>
      </w:pPr>
    </w:p>
    <w:p>
      <w:pPr>
        <w:pStyle w:val="5"/>
        <w:rPr>
          <w:rFonts w:hint="eastAsia" w:ascii="仿宋_GB2312" w:eastAsia="仿宋_GB2312"/>
          <w:sz w:val="32"/>
          <w:szCs w:val="32"/>
        </w:rPr>
      </w:pPr>
    </w:p>
    <w:p>
      <w:pPr>
        <w:rPr>
          <w:rFonts w:hint="eastAsia"/>
        </w:rPr>
      </w:pPr>
    </w:p>
    <w:p>
      <w:pPr>
        <w:keepNext w:val="0"/>
        <w:keepLines w:val="0"/>
        <w:pageBreakBefore w:val="0"/>
        <w:widowControl w:val="0"/>
        <w:kinsoku/>
        <w:wordWrap/>
        <w:overflowPunct/>
        <w:topLinePunct w:val="0"/>
        <w:autoSpaceDE/>
        <w:autoSpaceDN/>
        <w:bidi w:val="0"/>
        <w:adjustRightInd/>
        <w:snapToGrid/>
        <w:spacing w:line="580" w:lineRule="exact"/>
        <w:ind w:firstLine="5120" w:firstLineChars="1600"/>
        <w:textAlignment w:val="auto"/>
        <w:rPr>
          <w:rFonts w:ascii="仿宋_GB2312" w:eastAsia="仿宋_GB2312"/>
          <w:sz w:val="32"/>
          <w:szCs w:val="32"/>
        </w:rPr>
      </w:pPr>
      <w:r>
        <w:rPr>
          <w:rFonts w:hint="eastAsia" w:ascii="仿宋_GB2312" w:eastAsia="仿宋_GB2312"/>
          <w:sz w:val="32"/>
          <w:szCs w:val="32"/>
        </w:rPr>
        <w:t>湛</w:t>
      </w:r>
      <w:r>
        <w:rPr>
          <w:rFonts w:hint="eastAsia" w:ascii="仿宋_GB2312" w:eastAsia="仿宋_GB2312"/>
          <w:sz w:val="32"/>
          <w:szCs w:val="32"/>
          <w:lang w:eastAsia="zh-CN"/>
        </w:rPr>
        <w:t>环建霞</w:t>
      </w: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号</w:t>
      </w:r>
    </w:p>
    <w:p>
      <w:pPr>
        <w:pStyle w:val="6"/>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sz w:val="15"/>
          <w:szCs w:val="15"/>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小标宋" w:eastAsia="小标宋"/>
          <w:sz w:val="44"/>
          <w:szCs w:val="44"/>
        </w:rPr>
      </w:pPr>
      <w:bookmarkStart w:id="3" w:name="_GoBack"/>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val="en-US" w:eastAsia="zh-CN"/>
        </w:rPr>
        <w:t>无菌自动化大米加工仓储一体化建设项目</w:t>
      </w:r>
      <w:r>
        <w:rPr>
          <w:rFonts w:hint="eastAsia" w:ascii="方正小标宋简体" w:hAnsi="方正小标宋简体" w:eastAsia="方正小标宋简体" w:cs="方正小标宋简体"/>
          <w:sz w:val="44"/>
          <w:szCs w:val="44"/>
        </w:rPr>
        <w:t>环境影响报告表的批复</w:t>
      </w:r>
    </w:p>
    <w:bookmarkEnd w:id="3"/>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广东怡丰米业有限公司：</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w:t>
      </w:r>
      <w:r>
        <w:rPr>
          <w:rFonts w:hint="eastAsia" w:ascii="仿宋_GB2312" w:hAnsi="仿宋_GB2312" w:eastAsia="仿宋_GB2312" w:cs="仿宋_GB2312"/>
          <w:sz w:val="32"/>
          <w:szCs w:val="32"/>
          <w:lang w:val="en-US" w:eastAsia="zh-CN"/>
        </w:rPr>
        <w:t>无菌自动化大米加工仓储一体化建设项目</w:t>
      </w:r>
      <w:r>
        <w:rPr>
          <w:rFonts w:hint="eastAsia" w:ascii="仿宋_GB2312" w:hAnsi="仿宋_GB2312" w:eastAsia="仿宋_GB2312" w:cs="仿宋_GB2312"/>
          <w:sz w:val="32"/>
          <w:szCs w:val="32"/>
        </w:rPr>
        <w:t>环境影响报告表》（以下简称“报告表”）等材料收悉。经研究，批复如下：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lang w:val="en-US" w:eastAsia="zh-CN"/>
        </w:rPr>
      </w:pPr>
      <w:r>
        <w:rPr>
          <w:rFonts w:hint="eastAsia" w:ascii="仿宋_GB2312" w:hAnsi="仿宋_GB2312" w:eastAsia="仿宋_GB2312" w:cs="仿宋_GB2312"/>
          <w:sz w:val="32"/>
          <w:szCs w:val="32"/>
          <w:lang w:val="en-US" w:eastAsia="zh-CN"/>
        </w:rPr>
        <w:t>一、广东怡丰米业有限公司无菌自动化大米加工仓储一体化建设项目位于广东省湛江市霞山区宝石路1号，占地面积</w:t>
      </w:r>
      <w:r>
        <w:rPr>
          <w:rFonts w:hint="default" w:ascii="仿宋_GB2312" w:hAnsi="仿宋_GB2312" w:eastAsia="仿宋_GB2312" w:cs="仿宋_GB2312"/>
          <w:sz w:val="32"/>
          <w:szCs w:val="32"/>
          <w:lang w:val="en-US" w:eastAsia="zh-CN"/>
        </w:rPr>
        <w:t>11205.41</w:t>
      </w:r>
      <w:r>
        <w:rPr>
          <w:rFonts w:hint="eastAsia" w:ascii="仿宋_GB2312" w:hAnsi="仿宋_GB2312" w:eastAsia="仿宋_GB2312" w:cs="仿宋_GB2312"/>
          <w:sz w:val="32"/>
          <w:szCs w:val="32"/>
          <w:lang w:val="en-US" w:eastAsia="zh-CN"/>
        </w:rPr>
        <w:t>平方米，建设内容包括一座无菌自动化加工车间、成品库、钢板仓、物流中心以及消防泵房、消防水池、大门门卫等。项目年加工生产高档米4</w:t>
      </w:r>
      <w:r>
        <w:rPr>
          <w:rFonts w:hint="default" w:ascii="仿宋_GB2312" w:hAnsi="仿宋_GB2312" w:eastAsia="仿宋_GB2312" w:cs="仿宋_GB2312"/>
          <w:sz w:val="32"/>
          <w:szCs w:val="32"/>
          <w:lang w:val="en-US" w:eastAsia="zh-CN"/>
        </w:rPr>
        <w:t>500</w:t>
      </w:r>
      <w:r>
        <w:rPr>
          <w:rFonts w:hint="eastAsia" w:ascii="仿宋_GB2312" w:hAnsi="仿宋_GB2312" w:eastAsia="仿宋_GB2312" w:cs="仿宋_GB2312"/>
          <w:sz w:val="32"/>
          <w:szCs w:val="32"/>
          <w:lang w:val="en-US" w:eastAsia="zh-CN"/>
        </w:rPr>
        <w:t xml:space="preserve"> t</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a、精米3</w:t>
      </w:r>
      <w:r>
        <w:rPr>
          <w:rFonts w:hint="default" w:ascii="仿宋_GB2312" w:hAnsi="仿宋_GB2312" w:eastAsia="仿宋_GB2312" w:cs="仿宋_GB2312"/>
          <w:sz w:val="32"/>
          <w:szCs w:val="32"/>
          <w:lang w:val="en-US" w:eastAsia="zh-CN"/>
        </w:rPr>
        <w:t>0000</w:t>
      </w:r>
      <w:r>
        <w:rPr>
          <w:rFonts w:hint="eastAsia" w:ascii="仿宋_GB2312" w:hAnsi="仿宋_GB2312" w:eastAsia="仿宋_GB2312" w:cs="仿宋_GB2312"/>
          <w:sz w:val="32"/>
          <w:szCs w:val="32"/>
          <w:lang w:val="en-US" w:eastAsia="zh-CN"/>
        </w:rPr>
        <w:t>t</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a、普通米4</w:t>
      </w:r>
      <w:r>
        <w:rPr>
          <w:rFonts w:hint="default" w:ascii="仿宋_GB2312" w:hAnsi="仿宋_GB2312" w:eastAsia="仿宋_GB2312" w:cs="仿宋_GB2312"/>
          <w:sz w:val="32"/>
          <w:szCs w:val="32"/>
          <w:lang w:val="en-US" w:eastAsia="zh-CN"/>
        </w:rPr>
        <w:t>6500</w:t>
      </w:r>
      <w:r>
        <w:rPr>
          <w:rFonts w:hint="eastAsia" w:ascii="仿宋_GB2312" w:hAnsi="仿宋_GB2312" w:eastAsia="仿宋_GB2312" w:cs="仿宋_GB2312"/>
          <w:sz w:val="32"/>
          <w:szCs w:val="32"/>
          <w:lang w:val="en-US" w:eastAsia="zh-CN"/>
        </w:rPr>
        <w:t xml:space="preserve"> t</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a，其余副产品（稻壳、米糠、碎米及异色粒、次粮）</w:t>
      </w:r>
      <w:r>
        <w:rPr>
          <w:rFonts w:hint="default" w:ascii="仿宋_GB2312" w:hAnsi="仿宋_GB2312" w:eastAsia="仿宋_GB2312" w:cs="仿宋_GB2312"/>
          <w:sz w:val="32"/>
          <w:szCs w:val="32"/>
          <w:lang w:val="en-US" w:eastAsia="zh-CN"/>
        </w:rPr>
        <w:t>68223.5</w:t>
      </w:r>
      <w:r>
        <w:rPr>
          <w:rFonts w:hint="eastAsia" w:ascii="仿宋_GB2312" w:hAnsi="仿宋_GB2312" w:eastAsia="仿宋_GB2312" w:cs="仿宋_GB2312"/>
          <w:sz w:val="32"/>
          <w:szCs w:val="32"/>
          <w:lang w:val="en-US" w:eastAsia="zh-CN"/>
        </w:rPr>
        <w:t>t</w:t>
      </w:r>
      <w:r>
        <w:rPr>
          <w:rFonts w:hint="default"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en-US" w:eastAsia="zh-CN"/>
        </w:rPr>
        <w:t>a，主要生产工艺为：原料接收→初清→二次清理→去石、磁选→砻谷→谷糙分离→糙米调质→碾米→白米分级→刷米→凉米→抛光→色选→精选→包装。公司员工</w:t>
      </w:r>
      <w:r>
        <w:rPr>
          <w:rFonts w:hint="default"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lang w:val="en-US" w:eastAsia="zh-CN"/>
        </w:rPr>
        <w:t>人，均不在厂内食宿，年工作</w:t>
      </w:r>
      <w:r>
        <w:rPr>
          <w:rFonts w:hint="default" w:ascii="仿宋_GB2312" w:hAnsi="仿宋_GB2312" w:eastAsia="仿宋_GB2312" w:cs="仿宋_GB2312"/>
          <w:sz w:val="32"/>
          <w:szCs w:val="32"/>
          <w:lang w:val="en-US" w:eastAsia="zh-CN"/>
        </w:rPr>
        <w:t>300</w:t>
      </w:r>
      <w:r>
        <w:rPr>
          <w:rFonts w:hint="eastAsia" w:ascii="仿宋_GB2312" w:hAnsi="仿宋_GB2312" w:eastAsia="仿宋_GB2312" w:cs="仿宋_GB2312"/>
          <w:sz w:val="32"/>
          <w:szCs w:val="32"/>
          <w:lang w:val="en-US" w:eastAsia="zh-CN"/>
        </w:rPr>
        <w:t>天，每天三班制，每班8小时。项目总投资1.5亿元，</w:t>
      </w:r>
      <w:r>
        <w:rPr>
          <w:rFonts w:hint="default" w:ascii="仿宋_GB2312" w:hAnsi="仿宋_GB2312" w:eastAsia="仿宋_GB2312" w:cs="仿宋_GB2312"/>
          <w:sz w:val="32"/>
          <w:szCs w:val="32"/>
          <w:lang w:val="en-US" w:eastAsia="zh-CN"/>
        </w:rPr>
        <w:t>其中环保投资</w:t>
      </w:r>
      <w:r>
        <w:rPr>
          <w:rFonts w:hint="eastAsia" w:ascii="仿宋_GB2312" w:hAnsi="仿宋_GB2312" w:eastAsia="仿宋_GB2312" w:cs="仿宋_GB2312"/>
          <w:sz w:val="32"/>
          <w:szCs w:val="32"/>
          <w:lang w:val="en-US" w:eastAsia="zh-CN"/>
        </w:rPr>
        <w:t>200</w:t>
      </w:r>
      <w:r>
        <w:rPr>
          <w:rFonts w:hint="default"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项目组成</w:t>
      </w:r>
      <w:r>
        <w:rPr>
          <w:rFonts w:hint="eastAsia" w:ascii="仿宋_GB2312" w:hAnsi="仿宋_GB2312" w:eastAsia="仿宋_GB2312" w:cs="仿宋_GB2312"/>
          <w:sz w:val="32"/>
          <w:szCs w:val="32"/>
          <w:lang w:val="en-US" w:eastAsia="zh-CN"/>
        </w:rPr>
        <w:t>及主要建设内容</w:t>
      </w:r>
      <w:r>
        <w:rPr>
          <w:rFonts w:hint="default" w:ascii="仿宋_GB2312" w:hAnsi="仿宋_GB2312" w:eastAsia="仿宋_GB2312" w:cs="仿宋_GB2312"/>
          <w:sz w:val="32"/>
          <w:szCs w:val="32"/>
          <w:lang w:val="en-US" w:eastAsia="zh-CN"/>
        </w:rPr>
        <w:t>见表</w:t>
      </w:r>
      <w:r>
        <w:rPr>
          <w:rFonts w:hint="eastAsia" w:ascii="仿宋_GB2312" w:hAnsi="仿宋_GB2312" w:eastAsia="仿宋_GB2312" w:cs="仿宋_GB2312"/>
          <w:sz w:val="32"/>
          <w:szCs w:val="32"/>
          <w:lang w:val="en-US" w:eastAsia="zh-CN"/>
        </w:rPr>
        <w:t>1</w:t>
      </w:r>
      <w:r>
        <w:rPr>
          <w:rFonts w:hint="default"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default" w:ascii="Times New Roman" w:hAnsi="Times New Roman" w:cs="Times New Roman"/>
          <w:b/>
          <w:bCs/>
          <w:kern w:val="0"/>
          <w:sz w:val="24"/>
          <w:szCs w:val="24"/>
          <w:lang w:val="en-US" w:eastAsia="zh-CN"/>
        </w:rPr>
      </w:pPr>
      <w:r>
        <w:rPr>
          <w:rFonts w:hint="default" w:ascii="Times New Roman" w:hAnsi="Times New Roman" w:cs="Times New Roman"/>
          <w:b/>
          <w:bCs/>
          <w:kern w:val="0"/>
          <w:sz w:val="24"/>
          <w:szCs w:val="24"/>
          <w:lang w:val="en-US" w:eastAsia="zh-CN"/>
        </w:rPr>
        <w:t>表1 项目建设组成及</w:t>
      </w:r>
      <w:r>
        <w:rPr>
          <w:rFonts w:hint="eastAsia" w:ascii="Times New Roman" w:hAnsi="Times New Roman" w:cs="Times New Roman"/>
          <w:b/>
          <w:bCs/>
          <w:kern w:val="0"/>
          <w:sz w:val="24"/>
          <w:szCs w:val="24"/>
          <w:lang w:val="en-US" w:eastAsia="zh-CN"/>
        </w:rPr>
        <w:t>主要建设内容</w:t>
      </w:r>
      <w:r>
        <w:rPr>
          <w:rFonts w:hint="default" w:ascii="Times New Roman" w:hAnsi="Times New Roman" w:cs="Times New Roman"/>
          <w:b/>
          <w:bCs/>
          <w:kern w:val="0"/>
          <w:sz w:val="24"/>
          <w:szCs w:val="24"/>
          <w:lang w:val="en-US" w:eastAsia="zh-CN"/>
        </w:rPr>
        <w:t>一览表</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5"/>
        <w:gridCol w:w="2063"/>
        <w:gridCol w:w="4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noWrap w:val="0"/>
            <w:vAlign w:val="center"/>
          </w:tcPr>
          <w:p>
            <w:pPr>
              <w:adjustRightInd w:val="0"/>
              <w:snapToGrid w:val="0"/>
              <w:jc w:val="center"/>
              <w:rPr>
                <w:b/>
                <w:color w:val="auto"/>
                <w:szCs w:val="21"/>
              </w:rPr>
            </w:pPr>
            <w:bookmarkStart w:id="0" w:name="_Hlk131410368"/>
            <w:r>
              <w:rPr>
                <w:rFonts w:hint="eastAsia"/>
                <w:b/>
                <w:color w:val="auto"/>
                <w:szCs w:val="21"/>
              </w:rPr>
              <w:t>组成</w:t>
            </w:r>
          </w:p>
        </w:tc>
        <w:tc>
          <w:tcPr>
            <w:tcW w:w="4568" w:type="pct"/>
            <w:gridSpan w:val="3"/>
            <w:noWrap w:val="0"/>
            <w:vAlign w:val="center"/>
          </w:tcPr>
          <w:p>
            <w:pPr>
              <w:adjustRightInd w:val="0"/>
              <w:snapToGrid w:val="0"/>
              <w:jc w:val="center"/>
              <w:rPr>
                <w:b/>
                <w:color w:val="auto"/>
                <w:szCs w:val="21"/>
              </w:rPr>
            </w:pPr>
            <w:r>
              <w:rPr>
                <w:rFonts w:hint="eastAsia"/>
                <w:b/>
                <w:color w:val="auto"/>
                <w:szCs w:val="21"/>
              </w:rPr>
              <w:t>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noWrap w:val="0"/>
            <w:vAlign w:val="center"/>
          </w:tcPr>
          <w:p>
            <w:pPr>
              <w:adjustRightInd w:val="0"/>
              <w:snapToGrid w:val="0"/>
              <w:jc w:val="center"/>
              <w:rPr>
                <w:color w:val="auto"/>
                <w:szCs w:val="21"/>
              </w:rPr>
            </w:pPr>
            <w:r>
              <w:rPr>
                <w:color w:val="auto"/>
                <w:szCs w:val="21"/>
              </w:rPr>
              <w:t>主体工程</w:t>
            </w:r>
          </w:p>
        </w:tc>
        <w:tc>
          <w:tcPr>
            <w:tcW w:w="1641" w:type="pct"/>
            <w:gridSpan w:val="2"/>
            <w:noWrap w:val="0"/>
            <w:vAlign w:val="center"/>
          </w:tcPr>
          <w:p>
            <w:pPr>
              <w:adjustRightInd w:val="0"/>
              <w:snapToGrid w:val="0"/>
              <w:jc w:val="center"/>
              <w:rPr>
                <w:color w:val="auto"/>
                <w:szCs w:val="21"/>
              </w:rPr>
            </w:pPr>
            <w:r>
              <w:rPr>
                <w:rFonts w:hint="eastAsia"/>
                <w:color w:val="auto"/>
                <w:szCs w:val="21"/>
              </w:rPr>
              <w:t>生产厂房</w:t>
            </w:r>
          </w:p>
        </w:tc>
        <w:tc>
          <w:tcPr>
            <w:tcW w:w="2927" w:type="pct"/>
            <w:noWrap w:val="0"/>
            <w:vAlign w:val="center"/>
          </w:tcPr>
          <w:p>
            <w:pPr>
              <w:adjustRightInd w:val="0"/>
              <w:snapToGrid w:val="0"/>
              <w:ind w:firstLine="420" w:firstLineChars="200"/>
              <w:rPr>
                <w:color w:val="auto"/>
                <w:szCs w:val="21"/>
              </w:rPr>
            </w:pPr>
            <w:bookmarkStart w:id="1" w:name="_Hlk145348545"/>
            <w:r>
              <w:rPr>
                <w:color w:val="auto"/>
                <w:szCs w:val="21"/>
              </w:rPr>
              <w:t>1</w:t>
            </w:r>
            <w:r>
              <w:rPr>
                <w:rFonts w:hint="eastAsia"/>
                <w:color w:val="auto"/>
                <w:szCs w:val="21"/>
              </w:rPr>
              <w:t>栋地上</w:t>
            </w:r>
            <w:r>
              <w:rPr>
                <w:color w:val="auto"/>
                <w:szCs w:val="21"/>
              </w:rPr>
              <w:t>4</w:t>
            </w:r>
            <w:r>
              <w:rPr>
                <w:rFonts w:hint="eastAsia"/>
                <w:color w:val="auto"/>
                <w:szCs w:val="21"/>
              </w:rPr>
              <w:t>层建筑，占地面积</w:t>
            </w:r>
            <w:r>
              <w:rPr>
                <w:color w:val="auto"/>
                <w:szCs w:val="21"/>
              </w:rPr>
              <w:t>1693.56</w:t>
            </w:r>
            <w:r>
              <w:rPr>
                <w:rFonts w:hint="eastAsia"/>
                <w:color w:val="auto"/>
                <w:szCs w:val="21"/>
              </w:rPr>
              <w:t>m</w:t>
            </w:r>
            <w:r>
              <w:rPr>
                <w:rFonts w:hint="eastAsia"/>
                <w:color w:val="auto"/>
                <w:szCs w:val="21"/>
                <w:vertAlign w:val="superscript"/>
              </w:rPr>
              <w:t>2</w:t>
            </w:r>
            <w:r>
              <w:rPr>
                <w:rFonts w:hint="eastAsia"/>
                <w:color w:val="auto"/>
                <w:szCs w:val="21"/>
              </w:rPr>
              <w:t>，建筑面积</w:t>
            </w:r>
            <w:r>
              <w:rPr>
                <w:color w:val="auto"/>
                <w:szCs w:val="21"/>
              </w:rPr>
              <w:t>5904.77</w:t>
            </w:r>
            <w:r>
              <w:rPr>
                <w:rFonts w:hint="eastAsia"/>
                <w:color w:val="auto"/>
                <w:szCs w:val="21"/>
              </w:rPr>
              <w:t>m</w:t>
            </w:r>
            <w:r>
              <w:rPr>
                <w:rFonts w:hint="eastAsia"/>
                <w:color w:val="auto"/>
                <w:szCs w:val="21"/>
                <w:vertAlign w:val="superscript"/>
              </w:rPr>
              <w:t>2</w:t>
            </w:r>
            <w:r>
              <w:rPr>
                <w:rFonts w:hint="eastAsia"/>
                <w:color w:val="auto"/>
                <w:szCs w:val="21"/>
              </w:rPr>
              <w:t>。</w:t>
            </w:r>
          </w:p>
          <w:p>
            <w:pPr>
              <w:adjustRightInd w:val="0"/>
              <w:snapToGrid w:val="0"/>
              <w:ind w:firstLine="420" w:firstLineChars="200"/>
              <w:rPr>
                <w:color w:val="auto"/>
                <w:szCs w:val="21"/>
              </w:rPr>
            </w:pPr>
            <w:r>
              <w:rPr>
                <w:rFonts w:hint="eastAsia"/>
                <w:color w:val="auto"/>
                <w:szCs w:val="21"/>
              </w:rPr>
              <w:t>-</w:t>
            </w:r>
            <w:r>
              <w:rPr>
                <w:color w:val="auto"/>
                <w:szCs w:val="21"/>
              </w:rPr>
              <w:t>1</w:t>
            </w:r>
            <w:r>
              <w:rPr>
                <w:rFonts w:hint="eastAsia"/>
                <w:color w:val="auto"/>
                <w:szCs w:val="21"/>
              </w:rPr>
              <w:t>层：消防水池、消防水泵房；</w:t>
            </w:r>
          </w:p>
          <w:p>
            <w:pPr>
              <w:adjustRightInd w:val="0"/>
              <w:snapToGrid w:val="0"/>
              <w:ind w:firstLine="420" w:firstLineChars="200"/>
              <w:rPr>
                <w:color w:val="auto"/>
                <w:szCs w:val="21"/>
              </w:rPr>
            </w:pPr>
            <w:r>
              <w:rPr>
                <w:rFonts w:hint="eastAsia"/>
                <w:color w:val="auto"/>
                <w:szCs w:val="21"/>
              </w:rPr>
              <w:t>1层：配电房、稻谷仓、成品米仓；</w:t>
            </w:r>
          </w:p>
          <w:p>
            <w:pPr>
              <w:adjustRightInd w:val="0"/>
              <w:snapToGrid w:val="0"/>
              <w:ind w:firstLine="420" w:firstLineChars="200"/>
              <w:rPr>
                <w:color w:val="auto"/>
                <w:szCs w:val="21"/>
              </w:rPr>
            </w:pPr>
            <w:r>
              <w:rPr>
                <w:rFonts w:hint="eastAsia"/>
                <w:color w:val="auto"/>
                <w:szCs w:val="21"/>
              </w:rPr>
              <w:t>2层：生产车间、配米仓、稻谷仓；</w:t>
            </w:r>
          </w:p>
          <w:p>
            <w:pPr>
              <w:adjustRightInd w:val="0"/>
              <w:snapToGrid w:val="0"/>
              <w:ind w:firstLine="420" w:firstLineChars="200"/>
              <w:rPr>
                <w:rFonts w:hint="eastAsia"/>
                <w:color w:val="auto"/>
                <w:szCs w:val="21"/>
              </w:rPr>
            </w:pPr>
            <w:r>
              <w:rPr>
                <w:rFonts w:hint="eastAsia"/>
                <w:color w:val="auto"/>
                <w:szCs w:val="21"/>
              </w:rPr>
              <w:t>3层：生产车间、配米仓、稻谷仓；</w:t>
            </w:r>
          </w:p>
          <w:p>
            <w:pPr>
              <w:adjustRightInd w:val="0"/>
              <w:snapToGrid w:val="0"/>
              <w:ind w:firstLine="420" w:firstLineChars="200"/>
              <w:rPr>
                <w:rFonts w:hint="eastAsia"/>
                <w:color w:val="auto"/>
                <w:szCs w:val="21"/>
              </w:rPr>
            </w:pPr>
            <w:r>
              <w:rPr>
                <w:rFonts w:hint="eastAsia"/>
                <w:color w:val="auto"/>
                <w:szCs w:val="21"/>
              </w:rPr>
              <w:t>4层：生产车间。</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restart"/>
            <w:noWrap w:val="0"/>
            <w:vAlign w:val="center"/>
          </w:tcPr>
          <w:p>
            <w:pPr>
              <w:adjustRightInd w:val="0"/>
              <w:snapToGrid w:val="0"/>
              <w:jc w:val="center"/>
              <w:rPr>
                <w:color w:val="auto"/>
                <w:szCs w:val="21"/>
              </w:rPr>
            </w:pPr>
            <w:r>
              <w:rPr>
                <w:rFonts w:hint="eastAsia"/>
                <w:color w:val="auto"/>
                <w:szCs w:val="21"/>
              </w:rPr>
              <w:t>储运工程</w:t>
            </w:r>
          </w:p>
        </w:tc>
        <w:tc>
          <w:tcPr>
            <w:tcW w:w="1641" w:type="pct"/>
            <w:gridSpan w:val="2"/>
            <w:noWrap w:val="0"/>
            <w:vAlign w:val="center"/>
          </w:tcPr>
          <w:p>
            <w:pPr>
              <w:adjustRightInd w:val="0"/>
              <w:snapToGrid w:val="0"/>
              <w:jc w:val="center"/>
              <w:rPr>
                <w:rFonts w:hint="eastAsia"/>
                <w:color w:val="auto"/>
                <w:szCs w:val="21"/>
              </w:rPr>
            </w:pPr>
            <w:r>
              <w:rPr>
                <w:rFonts w:hint="eastAsia"/>
                <w:color w:val="auto"/>
                <w:szCs w:val="21"/>
              </w:rPr>
              <w:t>仓库一</w:t>
            </w:r>
          </w:p>
        </w:tc>
        <w:tc>
          <w:tcPr>
            <w:tcW w:w="2927" w:type="pct"/>
            <w:noWrap w:val="0"/>
            <w:vAlign w:val="center"/>
          </w:tcPr>
          <w:p>
            <w:pPr>
              <w:adjustRightInd w:val="0"/>
              <w:snapToGrid w:val="0"/>
              <w:ind w:firstLine="420" w:firstLineChars="200"/>
              <w:rPr>
                <w:rFonts w:hint="eastAsia"/>
                <w:color w:val="auto"/>
                <w:szCs w:val="21"/>
              </w:rPr>
            </w:pPr>
            <w:r>
              <w:rPr>
                <w:color w:val="auto"/>
                <w:szCs w:val="21"/>
              </w:rPr>
              <w:t>1</w:t>
            </w:r>
            <w:r>
              <w:rPr>
                <w:rFonts w:hint="eastAsia"/>
                <w:color w:val="auto"/>
                <w:szCs w:val="21"/>
              </w:rPr>
              <w:t>栋地上</w:t>
            </w:r>
            <w:r>
              <w:rPr>
                <w:color w:val="auto"/>
                <w:szCs w:val="21"/>
              </w:rPr>
              <w:t>4</w:t>
            </w:r>
            <w:r>
              <w:rPr>
                <w:rFonts w:hint="eastAsia"/>
                <w:color w:val="auto"/>
                <w:szCs w:val="21"/>
              </w:rPr>
              <w:t>层建筑，占地面积</w:t>
            </w:r>
            <w:r>
              <w:rPr>
                <w:color w:val="auto"/>
                <w:szCs w:val="21"/>
              </w:rPr>
              <w:t>738.88</w:t>
            </w:r>
            <w:r>
              <w:rPr>
                <w:rFonts w:hint="eastAsia"/>
                <w:color w:val="auto"/>
                <w:szCs w:val="21"/>
              </w:rPr>
              <w:t>m</w:t>
            </w:r>
            <w:r>
              <w:rPr>
                <w:rFonts w:hint="eastAsia"/>
                <w:color w:val="auto"/>
                <w:szCs w:val="21"/>
                <w:vertAlign w:val="superscript"/>
              </w:rPr>
              <w:t>2</w:t>
            </w:r>
            <w:r>
              <w:rPr>
                <w:rFonts w:hint="eastAsia"/>
                <w:color w:val="auto"/>
                <w:szCs w:val="21"/>
              </w:rPr>
              <w:t>，建筑面积</w:t>
            </w:r>
            <w:r>
              <w:rPr>
                <w:color w:val="auto"/>
                <w:szCs w:val="21"/>
              </w:rPr>
              <w:t>2982.84</w:t>
            </w:r>
            <w:r>
              <w:rPr>
                <w:rFonts w:hint="eastAsia"/>
                <w:color w:val="auto"/>
                <w:szCs w:val="21"/>
              </w:rPr>
              <w:t>m</w:t>
            </w:r>
            <w:r>
              <w:rPr>
                <w:rFonts w:hint="eastAsia"/>
                <w:color w:val="auto"/>
                <w:szCs w:val="21"/>
                <w:vertAlign w:val="superscript"/>
              </w:rPr>
              <w:t>2</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rFonts w:hint="eastAsia"/>
                <w:color w:val="auto"/>
                <w:szCs w:val="21"/>
              </w:rPr>
            </w:pPr>
          </w:p>
        </w:tc>
        <w:tc>
          <w:tcPr>
            <w:tcW w:w="1641" w:type="pct"/>
            <w:gridSpan w:val="2"/>
            <w:noWrap w:val="0"/>
            <w:vAlign w:val="center"/>
          </w:tcPr>
          <w:p>
            <w:pPr>
              <w:adjustRightInd w:val="0"/>
              <w:snapToGrid w:val="0"/>
              <w:jc w:val="center"/>
              <w:rPr>
                <w:rFonts w:hint="eastAsia"/>
                <w:color w:val="auto"/>
                <w:szCs w:val="21"/>
              </w:rPr>
            </w:pPr>
            <w:r>
              <w:rPr>
                <w:rFonts w:hint="eastAsia"/>
                <w:color w:val="auto"/>
                <w:szCs w:val="21"/>
              </w:rPr>
              <w:t>仓库二</w:t>
            </w:r>
          </w:p>
        </w:tc>
        <w:tc>
          <w:tcPr>
            <w:tcW w:w="2927" w:type="pct"/>
            <w:noWrap w:val="0"/>
            <w:vAlign w:val="center"/>
          </w:tcPr>
          <w:p>
            <w:pPr>
              <w:adjustRightInd w:val="0"/>
              <w:snapToGrid w:val="0"/>
              <w:ind w:firstLine="420" w:firstLineChars="200"/>
              <w:rPr>
                <w:rFonts w:hint="eastAsia"/>
                <w:color w:val="auto"/>
                <w:szCs w:val="21"/>
              </w:rPr>
            </w:pPr>
            <w:r>
              <w:rPr>
                <w:color w:val="auto"/>
                <w:szCs w:val="21"/>
              </w:rPr>
              <w:t>1</w:t>
            </w:r>
            <w:r>
              <w:rPr>
                <w:rFonts w:hint="eastAsia"/>
                <w:color w:val="auto"/>
                <w:szCs w:val="21"/>
              </w:rPr>
              <w:t>栋地上</w:t>
            </w:r>
            <w:r>
              <w:rPr>
                <w:color w:val="auto"/>
                <w:szCs w:val="21"/>
              </w:rPr>
              <w:t>4</w:t>
            </w:r>
            <w:r>
              <w:rPr>
                <w:rFonts w:hint="eastAsia"/>
                <w:color w:val="auto"/>
                <w:szCs w:val="21"/>
              </w:rPr>
              <w:t>层建筑，占地面积</w:t>
            </w:r>
            <w:r>
              <w:rPr>
                <w:color w:val="auto"/>
                <w:szCs w:val="21"/>
              </w:rPr>
              <w:t>1816.61</w:t>
            </w:r>
            <w:r>
              <w:rPr>
                <w:rFonts w:hint="eastAsia"/>
                <w:color w:val="auto"/>
                <w:szCs w:val="21"/>
              </w:rPr>
              <w:t>m</w:t>
            </w:r>
            <w:r>
              <w:rPr>
                <w:rFonts w:hint="eastAsia"/>
                <w:color w:val="auto"/>
                <w:szCs w:val="21"/>
                <w:vertAlign w:val="superscript"/>
              </w:rPr>
              <w:t>2</w:t>
            </w:r>
            <w:r>
              <w:rPr>
                <w:rFonts w:hint="eastAsia"/>
                <w:color w:val="auto"/>
                <w:szCs w:val="21"/>
              </w:rPr>
              <w:t>，建筑面积</w:t>
            </w:r>
            <w:r>
              <w:rPr>
                <w:color w:val="auto"/>
                <w:szCs w:val="21"/>
              </w:rPr>
              <w:t>7432.28</w:t>
            </w:r>
            <w:r>
              <w:rPr>
                <w:rFonts w:hint="eastAsia"/>
                <w:color w:val="auto"/>
                <w:szCs w:val="21"/>
              </w:rPr>
              <w:t>m</w:t>
            </w:r>
            <w:r>
              <w:rPr>
                <w:rFonts w:hint="eastAsia"/>
                <w:color w:val="auto"/>
                <w:szCs w:val="21"/>
                <w:vertAlign w:val="superscript"/>
              </w:rPr>
              <w:t>2</w:t>
            </w:r>
            <w:r>
              <w:rPr>
                <w:rFonts w:hint="eastAsia"/>
                <w:color w:val="auto"/>
                <w:szCs w:val="21"/>
              </w:rPr>
              <w:t>。</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noWrap w:val="0"/>
            <w:vAlign w:val="center"/>
          </w:tcPr>
          <w:p>
            <w:pPr>
              <w:adjustRightInd w:val="0"/>
              <w:snapToGrid w:val="0"/>
              <w:jc w:val="center"/>
              <w:rPr>
                <w:color w:val="auto"/>
                <w:szCs w:val="21"/>
              </w:rPr>
            </w:pPr>
            <w:r>
              <w:rPr>
                <w:rFonts w:hint="eastAsia"/>
                <w:color w:val="auto"/>
                <w:szCs w:val="21"/>
              </w:rPr>
              <w:t>辅助工程</w:t>
            </w:r>
          </w:p>
        </w:tc>
        <w:tc>
          <w:tcPr>
            <w:tcW w:w="1641" w:type="pct"/>
            <w:gridSpan w:val="2"/>
            <w:noWrap w:val="0"/>
            <w:vAlign w:val="center"/>
          </w:tcPr>
          <w:p>
            <w:pPr>
              <w:adjustRightInd w:val="0"/>
              <w:snapToGrid w:val="0"/>
              <w:jc w:val="center"/>
              <w:rPr>
                <w:rFonts w:hint="eastAsia"/>
                <w:color w:val="auto"/>
                <w:szCs w:val="21"/>
              </w:rPr>
            </w:pPr>
            <w:r>
              <w:rPr>
                <w:rFonts w:hint="eastAsia"/>
                <w:color w:val="auto"/>
                <w:szCs w:val="21"/>
              </w:rPr>
              <w:t>综合楼</w:t>
            </w:r>
          </w:p>
        </w:tc>
        <w:tc>
          <w:tcPr>
            <w:tcW w:w="2927" w:type="pct"/>
            <w:noWrap w:val="0"/>
            <w:vAlign w:val="center"/>
          </w:tcPr>
          <w:p>
            <w:pPr>
              <w:adjustRightInd w:val="0"/>
              <w:snapToGrid w:val="0"/>
              <w:ind w:firstLine="420" w:firstLineChars="200"/>
              <w:rPr>
                <w:rFonts w:hint="eastAsia"/>
                <w:color w:val="auto"/>
                <w:szCs w:val="21"/>
              </w:rPr>
            </w:pPr>
            <w:r>
              <w:rPr>
                <w:color w:val="auto"/>
                <w:szCs w:val="21"/>
              </w:rPr>
              <w:t>1</w:t>
            </w:r>
            <w:r>
              <w:rPr>
                <w:rFonts w:hint="eastAsia"/>
                <w:color w:val="auto"/>
                <w:szCs w:val="21"/>
              </w:rPr>
              <w:t>栋地上</w:t>
            </w:r>
            <w:r>
              <w:rPr>
                <w:color w:val="auto"/>
                <w:szCs w:val="21"/>
              </w:rPr>
              <w:t>8</w:t>
            </w:r>
            <w:r>
              <w:rPr>
                <w:rFonts w:hint="eastAsia"/>
                <w:color w:val="auto"/>
                <w:szCs w:val="21"/>
              </w:rPr>
              <w:t>层建筑，占地面积</w:t>
            </w:r>
            <w:r>
              <w:rPr>
                <w:color w:val="auto"/>
                <w:szCs w:val="21"/>
              </w:rPr>
              <w:t>280</w:t>
            </w:r>
            <w:r>
              <w:rPr>
                <w:rFonts w:hint="eastAsia"/>
                <w:color w:val="auto"/>
                <w:szCs w:val="21"/>
              </w:rPr>
              <w:t>m</w:t>
            </w:r>
            <w:r>
              <w:rPr>
                <w:rFonts w:hint="eastAsia"/>
                <w:color w:val="auto"/>
                <w:szCs w:val="21"/>
                <w:vertAlign w:val="superscript"/>
              </w:rPr>
              <w:t>2</w:t>
            </w:r>
            <w:r>
              <w:rPr>
                <w:rFonts w:hint="eastAsia"/>
                <w:color w:val="auto"/>
                <w:szCs w:val="21"/>
              </w:rPr>
              <w:t>，建筑面积</w:t>
            </w:r>
            <w:r>
              <w:rPr>
                <w:color w:val="auto"/>
                <w:szCs w:val="21"/>
              </w:rPr>
              <w:t>2392.24</w:t>
            </w:r>
            <w:r>
              <w:rPr>
                <w:rFonts w:hint="eastAsia"/>
                <w:color w:val="auto"/>
                <w:szCs w:val="21"/>
              </w:rPr>
              <w:t>m</w:t>
            </w:r>
            <w:r>
              <w:rPr>
                <w:rFonts w:hint="eastAsia"/>
                <w:color w:val="auto"/>
                <w:szCs w:val="21"/>
                <w:vertAlign w:val="superscript"/>
              </w:rPr>
              <w:t>2</w:t>
            </w:r>
            <w:r>
              <w:rPr>
                <w:rFonts w:hint="eastAsia"/>
                <w:color w:val="auto"/>
                <w:szCs w:val="21"/>
              </w:rPr>
              <w:t>。综合楼主要用于员工办公。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restart"/>
            <w:noWrap w:val="0"/>
            <w:vAlign w:val="center"/>
          </w:tcPr>
          <w:p>
            <w:pPr>
              <w:adjustRightInd w:val="0"/>
              <w:snapToGrid w:val="0"/>
              <w:jc w:val="center"/>
              <w:rPr>
                <w:color w:val="auto"/>
                <w:szCs w:val="21"/>
              </w:rPr>
            </w:pPr>
            <w:r>
              <w:rPr>
                <w:color w:val="auto"/>
                <w:szCs w:val="21"/>
              </w:rPr>
              <w:t>公用工程</w:t>
            </w:r>
          </w:p>
        </w:tc>
        <w:tc>
          <w:tcPr>
            <w:tcW w:w="1641" w:type="pct"/>
            <w:gridSpan w:val="2"/>
            <w:noWrap w:val="0"/>
            <w:vAlign w:val="center"/>
          </w:tcPr>
          <w:p>
            <w:pPr>
              <w:adjustRightInd w:val="0"/>
              <w:snapToGrid w:val="0"/>
              <w:jc w:val="center"/>
              <w:rPr>
                <w:color w:val="auto"/>
                <w:szCs w:val="21"/>
              </w:rPr>
            </w:pPr>
            <w:r>
              <w:rPr>
                <w:color w:val="auto"/>
                <w:szCs w:val="21"/>
              </w:rPr>
              <w:t>供电</w:t>
            </w:r>
          </w:p>
        </w:tc>
        <w:tc>
          <w:tcPr>
            <w:tcW w:w="2927" w:type="pct"/>
            <w:noWrap w:val="0"/>
            <w:vAlign w:val="center"/>
          </w:tcPr>
          <w:p>
            <w:pPr>
              <w:adjustRightInd w:val="0"/>
              <w:snapToGrid w:val="0"/>
              <w:ind w:firstLine="420" w:firstLineChars="200"/>
              <w:rPr>
                <w:color w:val="auto"/>
                <w:szCs w:val="21"/>
              </w:rPr>
            </w:pPr>
            <w:r>
              <w:rPr>
                <w:color w:val="auto"/>
                <w:szCs w:val="21"/>
              </w:rPr>
              <w:t>市政供电</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color w:val="auto"/>
                <w:szCs w:val="21"/>
              </w:rPr>
            </w:pPr>
          </w:p>
        </w:tc>
        <w:tc>
          <w:tcPr>
            <w:tcW w:w="1641" w:type="pct"/>
            <w:gridSpan w:val="2"/>
            <w:noWrap w:val="0"/>
            <w:vAlign w:val="center"/>
          </w:tcPr>
          <w:p>
            <w:pPr>
              <w:adjustRightInd w:val="0"/>
              <w:snapToGrid w:val="0"/>
              <w:jc w:val="center"/>
              <w:rPr>
                <w:color w:val="auto"/>
                <w:szCs w:val="21"/>
              </w:rPr>
            </w:pPr>
            <w:r>
              <w:rPr>
                <w:color w:val="auto"/>
                <w:szCs w:val="21"/>
              </w:rPr>
              <w:t>供水</w:t>
            </w:r>
          </w:p>
        </w:tc>
        <w:tc>
          <w:tcPr>
            <w:tcW w:w="2927" w:type="pct"/>
            <w:noWrap w:val="0"/>
            <w:vAlign w:val="center"/>
          </w:tcPr>
          <w:p>
            <w:pPr>
              <w:adjustRightInd w:val="0"/>
              <w:snapToGrid w:val="0"/>
              <w:ind w:firstLine="420" w:firstLineChars="200"/>
              <w:rPr>
                <w:color w:val="auto"/>
                <w:szCs w:val="21"/>
              </w:rPr>
            </w:pPr>
            <w:r>
              <w:rPr>
                <w:color w:val="auto"/>
                <w:szCs w:val="21"/>
              </w:rPr>
              <w:t>市政供水</w:t>
            </w:r>
            <w:r>
              <w:rPr>
                <w:rFonts w:hint="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color w:val="auto"/>
                <w:szCs w:val="21"/>
              </w:rPr>
            </w:pPr>
          </w:p>
        </w:tc>
        <w:tc>
          <w:tcPr>
            <w:tcW w:w="1641" w:type="pct"/>
            <w:gridSpan w:val="2"/>
            <w:noWrap w:val="0"/>
            <w:vAlign w:val="center"/>
          </w:tcPr>
          <w:p>
            <w:pPr>
              <w:adjustRightInd w:val="0"/>
              <w:snapToGrid w:val="0"/>
              <w:jc w:val="center"/>
              <w:rPr>
                <w:color w:val="auto"/>
                <w:szCs w:val="21"/>
              </w:rPr>
            </w:pPr>
            <w:r>
              <w:rPr>
                <w:rFonts w:hint="eastAsia"/>
                <w:color w:val="auto"/>
                <w:szCs w:val="21"/>
              </w:rPr>
              <w:t>排水</w:t>
            </w:r>
          </w:p>
        </w:tc>
        <w:tc>
          <w:tcPr>
            <w:tcW w:w="2927" w:type="pct"/>
            <w:noWrap w:val="0"/>
            <w:vAlign w:val="center"/>
          </w:tcPr>
          <w:p>
            <w:pPr>
              <w:ind w:firstLine="420" w:firstLineChars="200"/>
              <w:rPr>
                <w:rFonts w:hint="eastAsia"/>
                <w:bCs/>
                <w:color w:val="auto"/>
                <w:kern w:val="24"/>
                <w:szCs w:val="22"/>
              </w:rPr>
            </w:pPr>
            <w:r>
              <w:rPr>
                <w:rFonts w:hint="eastAsia"/>
                <w:color w:val="auto"/>
                <w:kern w:val="0"/>
                <w:szCs w:val="21"/>
              </w:rPr>
              <w:t>雨污分流，</w:t>
            </w:r>
            <w:r>
              <w:rPr>
                <w:rFonts w:hint="eastAsia"/>
                <w:bCs/>
                <w:color w:val="auto"/>
                <w:kern w:val="24"/>
                <w:szCs w:val="22"/>
              </w:rPr>
              <w:t>产品抛光用水在生产中经蒸发完全损耗，不外排。</w:t>
            </w:r>
            <w:bookmarkStart w:id="2" w:name="_Hlk145348626"/>
            <w:r>
              <w:rPr>
                <w:rFonts w:hint="eastAsia"/>
                <w:color w:val="auto"/>
                <w:kern w:val="0"/>
                <w:szCs w:val="21"/>
              </w:rPr>
              <w:t>生活污水经化粪池处理达标后排入湛江临港工业园污水处理厂</w:t>
            </w:r>
            <w:bookmarkEnd w:id="2"/>
            <w:r>
              <w:rPr>
                <w:rFonts w:hint="eastAsia"/>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restart"/>
            <w:noWrap w:val="0"/>
            <w:vAlign w:val="center"/>
          </w:tcPr>
          <w:p>
            <w:pPr>
              <w:adjustRightInd w:val="0"/>
              <w:snapToGrid w:val="0"/>
              <w:jc w:val="center"/>
              <w:rPr>
                <w:color w:val="auto"/>
                <w:szCs w:val="21"/>
              </w:rPr>
            </w:pPr>
            <w:r>
              <w:rPr>
                <w:color w:val="auto"/>
                <w:szCs w:val="21"/>
              </w:rPr>
              <w:t>环保工程</w:t>
            </w:r>
          </w:p>
        </w:tc>
        <w:tc>
          <w:tcPr>
            <w:tcW w:w="431" w:type="pct"/>
            <w:vMerge w:val="restart"/>
            <w:noWrap w:val="0"/>
            <w:vAlign w:val="center"/>
          </w:tcPr>
          <w:p>
            <w:pPr>
              <w:adjustRightInd w:val="0"/>
              <w:snapToGrid w:val="0"/>
              <w:jc w:val="center"/>
              <w:rPr>
                <w:color w:val="auto"/>
                <w:szCs w:val="21"/>
              </w:rPr>
            </w:pPr>
            <w:r>
              <w:rPr>
                <w:color w:val="auto"/>
                <w:szCs w:val="21"/>
              </w:rPr>
              <w:t>废气治理</w:t>
            </w:r>
          </w:p>
        </w:tc>
        <w:tc>
          <w:tcPr>
            <w:tcW w:w="1209" w:type="pct"/>
            <w:noWrap w:val="0"/>
            <w:vAlign w:val="center"/>
          </w:tcPr>
          <w:p>
            <w:pPr>
              <w:adjustRightInd w:val="0"/>
              <w:snapToGrid w:val="0"/>
              <w:jc w:val="center"/>
              <w:rPr>
                <w:color w:val="auto"/>
                <w:szCs w:val="21"/>
              </w:rPr>
            </w:pPr>
            <w:r>
              <w:rPr>
                <w:rFonts w:hint="eastAsia"/>
                <w:color w:val="auto"/>
                <w:szCs w:val="21"/>
              </w:rPr>
              <w:t>卸料粉尘</w:t>
            </w:r>
          </w:p>
        </w:tc>
        <w:tc>
          <w:tcPr>
            <w:tcW w:w="2927" w:type="pct"/>
            <w:noWrap w:val="0"/>
            <w:vAlign w:val="center"/>
          </w:tcPr>
          <w:p>
            <w:pPr>
              <w:adjustRightInd w:val="0"/>
              <w:snapToGrid w:val="0"/>
              <w:ind w:firstLine="420" w:firstLineChars="200"/>
              <w:rPr>
                <w:rFonts w:hint="eastAsia"/>
                <w:color w:val="auto"/>
                <w:szCs w:val="21"/>
              </w:rPr>
            </w:pPr>
            <w:r>
              <w:rPr>
                <w:rFonts w:hint="eastAsia"/>
                <w:color w:val="auto"/>
                <w:szCs w:val="21"/>
              </w:rPr>
              <w:t>加强管理后无组织排放，逸散后易沉降在卸料口周围，经定期打扫后送入稻谷钢板仓内。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8" w:hRule="atLeast"/>
        </w:trPr>
        <w:tc>
          <w:tcPr>
            <w:tcW w:w="431" w:type="pct"/>
            <w:vMerge w:val="continue"/>
            <w:noWrap w:val="0"/>
            <w:vAlign w:val="center"/>
          </w:tcPr>
          <w:p>
            <w:pPr>
              <w:adjustRightInd w:val="0"/>
              <w:snapToGrid w:val="0"/>
              <w:jc w:val="center"/>
              <w:rPr>
                <w:color w:val="auto"/>
                <w:szCs w:val="21"/>
              </w:rPr>
            </w:pPr>
          </w:p>
        </w:tc>
        <w:tc>
          <w:tcPr>
            <w:tcW w:w="431" w:type="pct"/>
            <w:vMerge w:val="continue"/>
            <w:noWrap w:val="0"/>
            <w:vAlign w:val="center"/>
          </w:tcPr>
          <w:p>
            <w:pPr>
              <w:adjustRightInd w:val="0"/>
              <w:snapToGrid w:val="0"/>
              <w:jc w:val="center"/>
              <w:rPr>
                <w:color w:val="auto"/>
                <w:szCs w:val="21"/>
              </w:rPr>
            </w:pPr>
          </w:p>
        </w:tc>
        <w:tc>
          <w:tcPr>
            <w:tcW w:w="1209" w:type="pct"/>
            <w:noWrap w:val="0"/>
            <w:vAlign w:val="center"/>
          </w:tcPr>
          <w:p>
            <w:pPr>
              <w:adjustRightInd w:val="0"/>
              <w:snapToGrid w:val="0"/>
              <w:jc w:val="center"/>
              <w:rPr>
                <w:rFonts w:hint="eastAsia"/>
                <w:color w:val="auto"/>
                <w:kern w:val="0"/>
                <w:szCs w:val="21"/>
              </w:rPr>
            </w:pPr>
            <w:r>
              <w:rPr>
                <w:rFonts w:hint="eastAsia"/>
                <w:color w:val="auto"/>
                <w:kern w:val="0"/>
                <w:szCs w:val="21"/>
              </w:rPr>
              <w:t>生产线粉尘废气</w:t>
            </w:r>
          </w:p>
        </w:tc>
        <w:tc>
          <w:tcPr>
            <w:tcW w:w="2927" w:type="pct"/>
            <w:noWrap w:val="0"/>
            <w:vAlign w:val="center"/>
          </w:tcPr>
          <w:p>
            <w:pPr>
              <w:adjustRightInd w:val="0"/>
              <w:snapToGrid w:val="0"/>
              <w:ind w:firstLine="420" w:firstLineChars="200"/>
              <w:rPr>
                <w:rFonts w:hint="eastAsia"/>
                <w:color w:val="auto"/>
                <w:szCs w:val="21"/>
              </w:rPr>
            </w:pPr>
            <w:r>
              <w:rPr>
                <w:rFonts w:hint="eastAsia"/>
                <w:color w:val="auto"/>
                <w:szCs w:val="21"/>
              </w:rPr>
              <w:t>有组织收集部分</w:t>
            </w:r>
            <w:r>
              <w:rPr>
                <w:rFonts w:hint="eastAsia"/>
                <w:color w:val="auto"/>
                <w:kern w:val="0"/>
                <w:szCs w:val="21"/>
              </w:rPr>
              <w:t>经脉冲除尘器处理后经排气筒排放；无组织逸散部分经加强通风后排放。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color w:val="auto"/>
                <w:szCs w:val="21"/>
              </w:rPr>
            </w:pPr>
          </w:p>
        </w:tc>
        <w:tc>
          <w:tcPr>
            <w:tcW w:w="431" w:type="pct"/>
            <w:noWrap w:val="0"/>
            <w:vAlign w:val="center"/>
          </w:tcPr>
          <w:p>
            <w:pPr>
              <w:adjustRightInd w:val="0"/>
              <w:snapToGrid w:val="0"/>
              <w:jc w:val="center"/>
              <w:rPr>
                <w:color w:val="auto"/>
                <w:szCs w:val="21"/>
              </w:rPr>
            </w:pPr>
            <w:r>
              <w:rPr>
                <w:color w:val="auto"/>
                <w:szCs w:val="21"/>
              </w:rPr>
              <w:t>废水治理</w:t>
            </w:r>
          </w:p>
        </w:tc>
        <w:tc>
          <w:tcPr>
            <w:tcW w:w="1209" w:type="pct"/>
            <w:noWrap w:val="0"/>
            <w:vAlign w:val="center"/>
          </w:tcPr>
          <w:p>
            <w:pPr>
              <w:adjustRightInd w:val="0"/>
              <w:snapToGrid w:val="0"/>
              <w:jc w:val="center"/>
              <w:rPr>
                <w:color w:val="auto"/>
                <w:szCs w:val="21"/>
              </w:rPr>
            </w:pPr>
            <w:r>
              <w:rPr>
                <w:rFonts w:hint="eastAsia"/>
                <w:color w:val="auto"/>
                <w:kern w:val="0"/>
                <w:szCs w:val="21"/>
              </w:rPr>
              <w:t>生活污水</w:t>
            </w:r>
          </w:p>
        </w:tc>
        <w:tc>
          <w:tcPr>
            <w:tcW w:w="2927" w:type="pct"/>
            <w:noWrap w:val="0"/>
            <w:vAlign w:val="center"/>
          </w:tcPr>
          <w:p>
            <w:pPr>
              <w:adjustRightInd w:val="0"/>
              <w:snapToGrid w:val="0"/>
              <w:ind w:firstLine="420" w:firstLineChars="200"/>
              <w:rPr>
                <w:color w:val="auto"/>
                <w:szCs w:val="21"/>
              </w:rPr>
            </w:pPr>
            <w:r>
              <w:rPr>
                <w:rFonts w:hint="eastAsia"/>
                <w:color w:val="auto"/>
                <w:kern w:val="0"/>
                <w:szCs w:val="21"/>
              </w:rPr>
              <w:t>经化粪池处理达标后排入湛江临港工业园污水处理厂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color w:val="auto"/>
                <w:szCs w:val="21"/>
              </w:rPr>
            </w:pPr>
          </w:p>
        </w:tc>
        <w:tc>
          <w:tcPr>
            <w:tcW w:w="431" w:type="pct"/>
            <w:noWrap w:val="0"/>
            <w:vAlign w:val="center"/>
          </w:tcPr>
          <w:p>
            <w:pPr>
              <w:adjustRightInd w:val="0"/>
              <w:snapToGrid w:val="0"/>
              <w:jc w:val="center"/>
              <w:rPr>
                <w:color w:val="auto"/>
                <w:szCs w:val="21"/>
              </w:rPr>
            </w:pPr>
            <w:r>
              <w:rPr>
                <w:rFonts w:hint="eastAsia"/>
                <w:color w:val="auto"/>
                <w:szCs w:val="21"/>
              </w:rPr>
              <w:t>噪声治理</w:t>
            </w:r>
          </w:p>
        </w:tc>
        <w:tc>
          <w:tcPr>
            <w:tcW w:w="1209" w:type="pct"/>
            <w:noWrap w:val="0"/>
            <w:vAlign w:val="center"/>
          </w:tcPr>
          <w:p>
            <w:pPr>
              <w:adjustRightInd w:val="0"/>
              <w:snapToGrid w:val="0"/>
              <w:jc w:val="center"/>
              <w:rPr>
                <w:color w:val="auto"/>
                <w:szCs w:val="21"/>
              </w:rPr>
            </w:pPr>
            <w:r>
              <w:rPr>
                <w:rFonts w:hint="eastAsia"/>
                <w:color w:val="auto"/>
                <w:szCs w:val="21"/>
              </w:rPr>
              <w:t>设备噪声</w:t>
            </w:r>
          </w:p>
        </w:tc>
        <w:tc>
          <w:tcPr>
            <w:tcW w:w="2927" w:type="pct"/>
            <w:noWrap w:val="0"/>
            <w:vAlign w:val="center"/>
          </w:tcPr>
          <w:p>
            <w:pPr>
              <w:adjustRightInd w:val="0"/>
              <w:snapToGrid w:val="0"/>
              <w:ind w:firstLine="420" w:firstLineChars="200"/>
              <w:rPr>
                <w:color w:val="auto"/>
                <w:szCs w:val="21"/>
              </w:rPr>
            </w:pPr>
            <w:r>
              <w:rPr>
                <w:rFonts w:hint="eastAsia"/>
                <w:color w:val="auto"/>
                <w:szCs w:val="21"/>
              </w:rPr>
              <w:t>消声、隔声、减震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color w:val="auto"/>
                <w:szCs w:val="21"/>
              </w:rPr>
            </w:pPr>
          </w:p>
        </w:tc>
        <w:tc>
          <w:tcPr>
            <w:tcW w:w="431" w:type="pct"/>
            <w:vMerge w:val="restart"/>
            <w:noWrap w:val="0"/>
            <w:vAlign w:val="center"/>
          </w:tcPr>
          <w:p>
            <w:pPr>
              <w:adjustRightInd w:val="0"/>
              <w:snapToGrid w:val="0"/>
              <w:jc w:val="center"/>
              <w:rPr>
                <w:rFonts w:hint="eastAsia"/>
                <w:color w:val="auto"/>
                <w:szCs w:val="21"/>
              </w:rPr>
            </w:pPr>
            <w:r>
              <w:rPr>
                <w:rFonts w:hint="eastAsia"/>
                <w:color w:val="auto"/>
                <w:szCs w:val="21"/>
              </w:rPr>
              <w:t>固体废物治理</w:t>
            </w:r>
          </w:p>
        </w:tc>
        <w:tc>
          <w:tcPr>
            <w:tcW w:w="1209" w:type="pct"/>
            <w:noWrap w:val="0"/>
            <w:vAlign w:val="center"/>
          </w:tcPr>
          <w:p>
            <w:pPr>
              <w:adjustRightInd w:val="0"/>
              <w:snapToGrid w:val="0"/>
              <w:jc w:val="center"/>
              <w:rPr>
                <w:rFonts w:hint="eastAsia"/>
                <w:color w:val="auto"/>
                <w:szCs w:val="21"/>
              </w:rPr>
            </w:pPr>
            <w:r>
              <w:rPr>
                <w:rFonts w:hint="eastAsia"/>
                <w:color w:val="auto"/>
                <w:szCs w:val="21"/>
              </w:rPr>
              <w:t>生活垃圾</w:t>
            </w:r>
          </w:p>
        </w:tc>
        <w:tc>
          <w:tcPr>
            <w:tcW w:w="2927" w:type="pct"/>
            <w:noWrap w:val="0"/>
            <w:vAlign w:val="center"/>
          </w:tcPr>
          <w:p>
            <w:pPr>
              <w:adjustRightInd w:val="0"/>
              <w:snapToGrid w:val="0"/>
              <w:ind w:firstLine="420" w:firstLineChars="200"/>
              <w:rPr>
                <w:color w:val="auto"/>
                <w:szCs w:val="21"/>
              </w:rPr>
            </w:pPr>
            <w:r>
              <w:rPr>
                <w:rFonts w:hint="eastAsia"/>
                <w:color w:val="auto"/>
                <w:szCs w:val="21"/>
              </w:rPr>
              <w:t>收集后交由环卫部门处理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431" w:type="pct"/>
            <w:vMerge w:val="continue"/>
            <w:noWrap w:val="0"/>
            <w:vAlign w:val="center"/>
          </w:tcPr>
          <w:p>
            <w:pPr>
              <w:adjustRightInd w:val="0"/>
              <w:snapToGrid w:val="0"/>
              <w:jc w:val="center"/>
              <w:rPr>
                <w:color w:val="auto"/>
                <w:szCs w:val="21"/>
              </w:rPr>
            </w:pPr>
          </w:p>
        </w:tc>
        <w:tc>
          <w:tcPr>
            <w:tcW w:w="431" w:type="pct"/>
            <w:vMerge w:val="continue"/>
            <w:noWrap w:val="0"/>
            <w:vAlign w:val="center"/>
          </w:tcPr>
          <w:p>
            <w:pPr>
              <w:adjustRightInd w:val="0"/>
              <w:snapToGrid w:val="0"/>
              <w:jc w:val="center"/>
              <w:rPr>
                <w:rFonts w:hint="eastAsia"/>
                <w:color w:val="auto"/>
                <w:szCs w:val="21"/>
              </w:rPr>
            </w:pPr>
          </w:p>
        </w:tc>
        <w:tc>
          <w:tcPr>
            <w:tcW w:w="1209" w:type="pct"/>
            <w:noWrap w:val="0"/>
            <w:vAlign w:val="center"/>
          </w:tcPr>
          <w:p>
            <w:pPr>
              <w:adjustRightInd w:val="0"/>
              <w:snapToGrid w:val="0"/>
              <w:jc w:val="center"/>
              <w:rPr>
                <w:rFonts w:hint="eastAsia"/>
                <w:color w:val="auto"/>
                <w:szCs w:val="21"/>
              </w:rPr>
            </w:pPr>
            <w:r>
              <w:rPr>
                <w:rFonts w:hint="eastAsia"/>
                <w:color w:val="auto"/>
                <w:szCs w:val="21"/>
              </w:rPr>
              <w:t>一般固体废物</w:t>
            </w:r>
          </w:p>
        </w:tc>
        <w:tc>
          <w:tcPr>
            <w:tcW w:w="2927" w:type="pct"/>
            <w:noWrap w:val="0"/>
            <w:vAlign w:val="center"/>
          </w:tcPr>
          <w:p>
            <w:pPr>
              <w:adjustRightInd w:val="0"/>
              <w:snapToGrid w:val="0"/>
              <w:ind w:firstLine="420" w:firstLineChars="200"/>
              <w:rPr>
                <w:color w:val="auto"/>
                <w:szCs w:val="21"/>
              </w:rPr>
            </w:pPr>
            <w:r>
              <w:rPr>
                <w:rFonts w:hint="eastAsia"/>
                <w:color w:val="auto"/>
                <w:szCs w:val="21"/>
              </w:rPr>
              <w:t>卸料粉尘经定期打扫后送入稻谷钢板仓内。</w:t>
            </w:r>
          </w:p>
          <w:p>
            <w:pPr>
              <w:adjustRightInd w:val="0"/>
              <w:snapToGrid w:val="0"/>
              <w:ind w:firstLine="420" w:firstLineChars="200"/>
              <w:rPr>
                <w:color w:val="auto"/>
                <w:szCs w:val="21"/>
              </w:rPr>
            </w:pPr>
            <w:r>
              <w:rPr>
                <w:rFonts w:hint="eastAsia"/>
                <w:color w:val="auto"/>
                <w:szCs w:val="21"/>
              </w:rPr>
              <w:t>杂质、含谷泥沙、除尘器收尘等将交专业公司回收处理。</w:t>
            </w:r>
          </w:p>
          <w:p>
            <w:pPr>
              <w:adjustRightInd w:val="0"/>
              <w:snapToGrid w:val="0"/>
              <w:ind w:firstLine="420" w:firstLineChars="200"/>
              <w:rPr>
                <w:rFonts w:hint="eastAsia"/>
                <w:color w:val="auto"/>
                <w:szCs w:val="21"/>
              </w:rPr>
            </w:pPr>
            <w:r>
              <w:rPr>
                <w:rFonts w:hint="eastAsia"/>
                <w:color w:val="auto"/>
                <w:szCs w:val="21"/>
              </w:rPr>
              <w:t>废包装材料外售废品回收站。</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报告表的评价结论，在全面落实报告表中提出的各项污染防治和风险防范措施，并确保污染物排放稳定达标且符合总量要求的前提下，项目按照报告表中所列性质、规模、地点和拟采取的环境保护措施进行建设，从环境保护角度可行。我局原则通过对报告表的审查，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应按照报告表内容组织实施。</w:t>
      </w:r>
    </w:p>
    <w:p>
      <w:pPr>
        <w:keepNext w:val="0"/>
        <w:keepLines w:val="0"/>
        <w:pageBreakBefore w:val="0"/>
        <w:widowControl w:val="0"/>
        <w:kinsoku/>
        <w:overflowPunct/>
        <w:topLinePunct w:val="0"/>
        <w:bidi w:val="0"/>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suppressLineNumbers w:val="0"/>
        <w:kinsoku/>
        <w:wordWrap w:val="0"/>
        <w:overflowPunct/>
        <w:topLinePunct w:val="0"/>
        <w:bidi w:val="0"/>
        <w:snapToGrid/>
        <w:spacing w:before="0" w:beforeAutospacing="0" w:after="0" w:afterAutospacing="0" w:line="540" w:lineRule="exact"/>
        <w:ind w:left="0" w:right="0"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该项目须严格执行“三同时”制度，并落实各项污染防治措施，污染防治设施要同时设计、同时施工、同时投入运行。项目竣工后，你公司须按规定的标准和程序，对配套建设的环境保护设施进行验收，验收合格后方可投入使用。</w:t>
      </w:r>
    </w:p>
    <w:p>
      <w:pPr>
        <w:keepNext w:val="0"/>
        <w:keepLines w:val="0"/>
        <w:pageBreakBefore w:val="0"/>
        <w:widowControl w:val="0"/>
        <w:suppressLineNumbers w:val="0"/>
        <w:kinsoku/>
        <w:wordWrap w:val="0"/>
        <w:overflowPunct/>
        <w:topLinePunct w:val="0"/>
        <w:bidi w:val="0"/>
        <w:snapToGrid/>
        <w:spacing w:before="0" w:beforeAutospacing="0" w:after="0" w:afterAutospacing="0" w:line="540" w:lineRule="exact"/>
        <w:ind w:left="0" w:right="0" w:firstLine="640" w:firstLineChars="200"/>
        <w:jc w:val="left"/>
        <w:textAlignment w:val="auto"/>
        <w:rPr>
          <w:rFonts w:hint="eastAsia" w:ascii="仿宋_GB2312" w:hAnsi="仿宋_GB2312" w:eastAsia="仿宋_GB2312" w:cs="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二</w:t>
      </w:r>
      <w:r>
        <w:rPr>
          <w:rFonts w:hint="eastAsia" w:ascii="仿宋_GB2312" w:eastAsia="仿宋_GB2312"/>
          <w:sz w:val="32"/>
          <w:szCs w:val="32"/>
        </w:rPr>
        <w:t>）</w:t>
      </w:r>
      <w:r>
        <w:rPr>
          <w:rFonts w:hint="eastAsia" w:ascii="仿宋_GB2312" w:hAnsi="仿宋_GB2312" w:eastAsia="仿宋_GB2312" w:cs="仿宋_GB2312"/>
          <w:sz w:val="32"/>
          <w:szCs w:val="32"/>
        </w:rPr>
        <w:t>该项目须加强环保管理和“三废”防治设施维护，严格按照环评的要求做好各项污染防治措施，确保项目产生的废气、</w:t>
      </w:r>
      <w:r>
        <w:rPr>
          <w:rFonts w:hint="eastAsia"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rPr>
        <w:t>噪声得到有效治理和持续稳定达标排放。</w:t>
      </w:r>
    </w:p>
    <w:p>
      <w:pPr>
        <w:keepNext w:val="0"/>
        <w:keepLines w:val="0"/>
        <w:pageBreakBefore w:val="0"/>
        <w:widowControl w:val="0"/>
        <w:kinsoku/>
        <w:overflowPunct/>
        <w:topLinePunct w:val="0"/>
        <w:bidi w:val="0"/>
        <w:snapToGrid/>
        <w:spacing w:line="54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该项目运营期有组织排放的生产线粉尘废气执行广东省地方标准《大气污染物排放标准限值》（DB44/27-2001）第二时段二级标准，无组织排放的粉尘执行广东省地方标准《大气污染物排放标准限值》（DB44/27-2001）第二时段无组织排放监控浓度限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生活污水经化粪池处理后</w:t>
      </w:r>
      <w:r>
        <w:rPr>
          <w:rFonts w:hint="eastAsia" w:ascii="仿宋_GB2312" w:hAnsi="仿宋_GB2312" w:eastAsia="仿宋_GB2312" w:cs="仿宋_GB2312"/>
          <w:sz w:val="32"/>
          <w:szCs w:val="32"/>
          <w:lang w:val="en-US" w:eastAsia="zh-CN"/>
        </w:rPr>
        <w:t>排入</w:t>
      </w:r>
      <w:r>
        <w:rPr>
          <w:rFonts w:hint="eastAsia" w:ascii="仿宋_GB2312" w:hAnsi="仿宋_GB2312" w:eastAsia="仿宋_GB2312" w:cs="仿宋_GB2312"/>
          <w:sz w:val="32"/>
          <w:szCs w:val="32"/>
        </w:rPr>
        <w:t>临港工业园污水处理厂</w:t>
      </w:r>
      <w:r>
        <w:rPr>
          <w:rFonts w:hint="default" w:ascii="仿宋_GB2312" w:hAnsi="仿宋_GB2312" w:eastAsia="仿宋_GB2312" w:cs="仿宋_GB2312"/>
          <w:sz w:val="32"/>
          <w:szCs w:val="32"/>
          <w:lang w:val="en-GB" w:eastAsia="zh-CN"/>
        </w:rPr>
        <w:t>集中处理</w:t>
      </w:r>
      <w:r>
        <w:rPr>
          <w:rFonts w:hint="eastAsia" w:ascii="仿宋_GB2312" w:hAnsi="仿宋_GB2312" w:eastAsia="仿宋_GB2312" w:cs="仿宋_GB2312"/>
          <w:sz w:val="32"/>
          <w:szCs w:val="32"/>
          <w:lang w:val="en-GB" w:eastAsia="zh-CN"/>
        </w:rPr>
        <w:t>，</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rPr>
        <w:t>广东省地方标准《水污染物排放限值》（DB44/26-2001）第二时段三级标准和湛江临港工业园污水处理厂进水水质要求的较严值</w:t>
      </w:r>
      <w:r>
        <w:rPr>
          <w:rFonts w:hint="eastAsia" w:ascii="仿宋_GB2312" w:hAnsi="仿宋_GB2312" w:eastAsia="仿宋_GB2312" w:cs="仿宋_GB2312"/>
          <w:sz w:val="32"/>
          <w:szCs w:val="32"/>
          <w:lang w:val="en-US" w:eastAsia="zh-CN"/>
        </w:rPr>
        <w:t>；厂界四周噪声执行《工业企业厂界环境噪声排放标准》（GB12348-2008）中3类标准。</w:t>
      </w:r>
    </w:p>
    <w:p>
      <w:pPr>
        <w:keepNext w:val="0"/>
        <w:keepLines w:val="0"/>
        <w:pageBreakBefore w:val="0"/>
        <w:widowControl w:val="0"/>
        <w:kinsoku/>
        <w:overflowPunct/>
        <w:topLinePunct w:val="0"/>
        <w:bidi w:val="0"/>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四、若项目的性质、规模、地点、生产工艺或者防治污染的措施发生重大变动，应重新报批项目的环境影响评价文件。</w:t>
      </w:r>
    </w:p>
    <w:p>
      <w:pPr>
        <w:rPr>
          <w:rFonts w:hint="eastAsia"/>
        </w:rPr>
      </w:pPr>
    </w:p>
    <w:p>
      <w:pPr>
        <w:pStyle w:val="2"/>
        <w:keepNext w:val="0"/>
        <w:keepLines w:val="0"/>
        <w:pageBreakBefore w:val="0"/>
        <w:widowControl w:val="0"/>
        <w:kinsoku/>
        <w:overflowPunct/>
        <w:topLinePunct w:val="0"/>
        <w:bidi w:val="0"/>
        <w:snapToGrid/>
        <w:spacing w:line="540" w:lineRule="exact"/>
        <w:ind w:left="0"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湛江市生态环境局</w:t>
      </w:r>
    </w:p>
    <w:p>
      <w:pPr>
        <w:pStyle w:val="5"/>
        <w:keepNext w:val="0"/>
        <w:keepLines w:val="0"/>
        <w:pageBreakBefore w:val="0"/>
        <w:widowControl w:val="0"/>
        <w:kinsoku/>
        <w:overflowPunct/>
        <w:topLinePunct w:val="0"/>
        <w:bidi w:val="0"/>
        <w:snapToGrid/>
        <w:spacing w:line="540" w:lineRule="exact"/>
        <w:ind w:left="0" w:firstLine="640" w:firstLineChars="200"/>
        <w:jc w:val="right"/>
      </w:pPr>
      <w:r>
        <w:rPr>
          <w:rFonts w:hint="eastAsia" w:ascii="仿宋_GB2312" w:hAnsi="仿宋_GB2312" w:eastAsia="仿宋_GB2312" w:cs="仿宋_GB2312"/>
          <w:sz w:val="32"/>
          <w:szCs w:val="32"/>
          <w:lang w:val="en-US" w:eastAsia="zh-CN"/>
        </w:rPr>
        <w:t>2024年2月2日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23FD104A"/>
    <w:rsid w:val="0BE90F1E"/>
    <w:rsid w:val="1A035F27"/>
    <w:rsid w:val="23FD104A"/>
    <w:rsid w:val="35A73A4E"/>
    <w:rsid w:val="387B0E2F"/>
    <w:rsid w:val="3DEA74EB"/>
    <w:rsid w:val="7A4B2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next w:val="5"/>
    <w:autoRedefine/>
    <w:qFormat/>
    <w:uiPriority w:val="0"/>
    <w:pPr>
      <w:autoSpaceDE w:val="0"/>
      <w:autoSpaceDN w:val="0"/>
    </w:pPr>
    <w:rPr>
      <w:rFonts w:hAnsi="Times New Roman" w:eastAsia="宋体" w:cs="宋体"/>
      <w:color w:val="000000"/>
      <w:sz w:val="24"/>
      <w:szCs w:val="24"/>
    </w:rPr>
  </w:style>
  <w:style w:type="paragraph" w:customStyle="1" w:styleId="3">
    <w:name w:val="纯文本1"/>
    <w:basedOn w:val="1"/>
    <w:next w:val="4"/>
    <w:autoRedefine/>
    <w:qFormat/>
    <w:uiPriority w:val="0"/>
    <w:pPr>
      <w:adjustRightInd w:val="0"/>
    </w:pPr>
    <w:rPr>
      <w:rFonts w:ascii="宋体" w:hAnsi="Courier New"/>
      <w:szCs w:val="20"/>
    </w:rPr>
  </w:style>
  <w:style w:type="paragraph" w:styleId="4">
    <w:name w:val="Plain Text"/>
    <w:basedOn w:val="1"/>
    <w:next w:val="1"/>
    <w:autoRedefine/>
    <w:qFormat/>
    <w:uiPriority w:val="0"/>
    <w:rPr>
      <w:rFonts w:ascii="宋体" w:hAnsi="Courier New"/>
      <w:szCs w:val="21"/>
    </w:rPr>
  </w:style>
  <w:style w:type="paragraph" w:styleId="5">
    <w:name w:val="List"/>
    <w:basedOn w:val="1"/>
    <w:next w:val="1"/>
    <w:autoRedefine/>
    <w:qFormat/>
    <w:uiPriority w:val="0"/>
    <w:pPr>
      <w:adjustRightInd w:val="0"/>
      <w:spacing w:line="288" w:lineRule="auto"/>
      <w:ind w:left="200" w:hanging="200" w:hangingChars="200"/>
      <w:textAlignment w:val="baseline"/>
    </w:pPr>
    <w:rPr>
      <w:rFonts w:ascii="Calibri" w:hAnsi="Calibri"/>
      <w:kern w:val="0"/>
      <w:sz w:val="24"/>
    </w:rPr>
  </w:style>
  <w:style w:type="paragraph" w:styleId="6">
    <w:name w:val="Body Text"/>
    <w:basedOn w:val="1"/>
    <w:autoRedefine/>
    <w:qFormat/>
    <w:uiPriority w:val="0"/>
    <w:pPr>
      <w:spacing w:line="0" w:lineRule="atLeast"/>
    </w:pPr>
    <w:rPr>
      <w:rFonts w:eastAsia="小标宋"/>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1287</Words>
  <Characters>1418</Characters>
  <Lines>0</Lines>
  <Paragraphs>0</Paragraphs>
  <TotalTime>50</TotalTime>
  <ScaleCrop>false</ScaleCrop>
  <LinksUpToDate>false</LinksUpToDate>
  <CharactersWithSpaces>1419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2022-09-15T02:44:00Z</dcterms:created>
  <dc:creator>sghnc</dc:creator>
  <cp:lastModifiedBy>锂锂鱼</cp:lastModifiedBy>
  <cp:lastPrinted>2024-02-02T02:32:02Z</cp:lastPrinted>
  <dcterms:modified xsi:type="dcterms:W3CDTF">2024-02-02T02:45:23Z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1395D009F8F14F86953E531F14A6ACE5</vt:lpwstr>
  </property>
</Properties>
</file>