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湛江市华辉石化有限公司仓储物流项目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13</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湛江市华辉石化有限公司仓储物流项目</w:t>
      </w:r>
      <w:r>
        <w:rPr>
          <w:rFonts w:hint="eastAsia" w:ascii="宋体" w:hAnsi="宋体" w:eastAsia="宋体" w:cs="宋体"/>
          <w:i w:val="0"/>
          <w:caps w:val="0"/>
          <w:color w:val="000000"/>
          <w:spacing w:val="0"/>
          <w:kern w:val="0"/>
          <w:sz w:val="21"/>
          <w:szCs w:val="21"/>
          <w:shd w:val="clear" w:color="auto" w:fill="FFFFFF"/>
          <w:lang w:val="en-US" w:eastAsia="zh-CN" w:bidi="ar"/>
        </w:rPr>
        <w:t>环境影响文件作出审批决定。现将作出的审批决定情况予以公告，公告期为20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13</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关于湛江市华辉石化有限公司仓储物流项目环境影响报告表的批复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湛环建霞〔2023〕9号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12月13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湛江市华辉石化有限公司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湛江市霞山区湖光路16号湛江市华辉石化有限公司站区用地范围内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57F7670"/>
    <w:rsid w:val="386B58F3"/>
    <w:rsid w:val="3973210F"/>
    <w:rsid w:val="3A7C7FDE"/>
    <w:rsid w:val="3E210A23"/>
    <w:rsid w:val="45F20F5F"/>
    <w:rsid w:val="549C0E54"/>
    <w:rsid w:val="59E11627"/>
    <w:rsid w:val="5A5000A4"/>
    <w:rsid w:val="5C3C07ED"/>
    <w:rsid w:val="68040C10"/>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spacing w:line="0" w:lineRule="atLeast"/>
    </w:pPr>
    <w:rPr>
      <w:rFonts w:eastAsia="小标宋"/>
      <w:sz w:val="44"/>
    </w:rPr>
  </w:style>
  <w:style w:type="paragraph" w:customStyle="1" w:styleId="4">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5">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8">
    <w:name w:val="Default"/>
    <w:basedOn w:val="9"/>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9">
    <w:name w:val="纯文本1"/>
    <w:basedOn w:val="1"/>
    <w:autoRedefine/>
    <w:qFormat/>
    <w:uiPriority w:val="0"/>
    <w:pPr>
      <w:adjustRightInd w:val="0"/>
    </w:pPr>
    <w:rPr>
      <w:rFonts w:ascii="宋体" w:hAnsi="Courier New"/>
      <w:szCs w:val="20"/>
    </w:rPr>
  </w:style>
  <w:style w:type="paragraph" w:customStyle="1" w:styleId="10">
    <w:name w:val="样式35"/>
    <w:basedOn w:val="11"/>
    <w:next w:val="15"/>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1">
    <w:name w:val="样式26"/>
    <w:basedOn w:val="12"/>
    <w:autoRedefine/>
    <w:qFormat/>
    <w:uiPriority w:val="0"/>
    <w:pPr>
      <w:tabs>
        <w:tab w:val="left" w:pos="0"/>
        <w:tab w:val="left" w:pos="360"/>
        <w:tab w:val="left" w:pos="540"/>
        <w:tab w:val="left" w:pos="567"/>
      </w:tabs>
    </w:pPr>
  </w:style>
  <w:style w:type="paragraph" w:customStyle="1" w:styleId="12">
    <w:name w:val="样式21"/>
    <w:basedOn w:val="13"/>
    <w:autoRedefine/>
    <w:qFormat/>
    <w:uiPriority w:val="0"/>
    <w:pPr>
      <w:tabs>
        <w:tab w:val="left" w:pos="360"/>
        <w:tab w:val="left" w:pos="567"/>
      </w:tabs>
      <w:spacing w:before="120" w:beforeLines="0" w:after="120" w:afterLines="0"/>
      <w:ind w:hanging="992"/>
    </w:pPr>
    <w:rPr>
      <w:kern w:val="0"/>
    </w:rPr>
  </w:style>
  <w:style w:type="paragraph" w:customStyle="1" w:styleId="13">
    <w:name w:val="样式5"/>
    <w:basedOn w:val="14"/>
    <w:autoRedefine/>
    <w:qFormat/>
    <w:uiPriority w:val="0"/>
    <w:pPr>
      <w:tabs>
        <w:tab w:val="left" w:pos="360"/>
        <w:tab w:val="left" w:pos="567"/>
      </w:tabs>
      <w:ind w:hanging="567" w:firstLineChars="0"/>
    </w:pPr>
    <w:rPr>
      <w:rFonts w:cs="Times New Roman"/>
    </w:rPr>
  </w:style>
  <w:style w:type="paragraph" w:customStyle="1" w:styleId="14">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5">
    <w:name w:val="font6"/>
    <w:basedOn w:val="1"/>
    <w:next w:val="5"/>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1</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2024-02-06T03:25:28Z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