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湛</w:t>
      </w:r>
      <w:r>
        <w:rPr>
          <w:rFonts w:hint="eastAsia" w:ascii="仿宋_GB2312" w:eastAsia="仿宋_GB2312"/>
          <w:sz w:val="32"/>
          <w:szCs w:val="32"/>
          <w:lang w:eastAsia="zh-CN"/>
        </w:rPr>
        <w:t>环建霞</w:t>
      </w:r>
      <w:r>
        <w:rPr>
          <w:rFonts w:hint="eastAsia" w:ascii="仿宋_GB2312" w:eastAsia="仿宋_GB2312"/>
          <w:sz w:val="32"/>
          <w:szCs w:val="32"/>
        </w:rPr>
        <w:t>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pStyle w:val="15"/>
        <w:wordWrap/>
        <w:rPr>
          <w:rFonts w:hint="eastAsia"/>
          <w:sz w:val="15"/>
          <w:szCs w:val="15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湛江市华辉石化有限公司仓储物流</w:t>
      </w:r>
    </w:p>
    <w:p>
      <w:pPr>
        <w:spacing w:line="520" w:lineRule="exact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环境影响报告表的批复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湛江市华辉石化有限公司：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报批的《湛江市华辉石化有限公司仓储物流项目环境影响报告表》（以下简称“报告表”）等材料收悉。经研究，批复如下：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位于湛江市霞山区湖光路16号湛江市华辉石化有限公司站区用地范围内，拟拆除部分丙类仓库，新建2座建筑面积分别为724.5m2和686.74m2的甲类仓库，主要储存物料为合成树脂、油漆（环氧类、聚酯类、聚氨酯类）、稀释剂、涂料等制品及其他化学品（叔丁胺（2-氨基异丁烷）、乙醇溶液、异丙醇（2-丙醇）、甲苯、石脑油、丙烯酸（稳定的）、氢氧化钠溶液[含量≥30%]、氢氧化钾溶液[含量≥30%]、次氯酸钙（溶液）、次氯酸钠溶液[含有效氯＞5%]、氨溶液[含氨＞10%]、2-氨基乙醇、二乙胺、氯化锌、环己胺（氨基环己烷）、盐酸、正磷酸、亚硝酸钠、二氯异氰尿酸、三氯异氰脲酸、氨基磺酸和苯甲酰氯共22种），项目所储存的危险化学品均为厂家供应商发货、由密封包装方式运输至该项目进行储存，经储存后转送至危化品使用单位，项目不在仓库内进行生产和分装，主要建设内容见表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总投资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万元，环保投资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万元，占比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，拟配备作业人员6人，均从原有人员中合理调配，不新增劳动定员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表1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  <w:t>主要建设内容一览表</w:t>
      </w:r>
    </w:p>
    <w:tbl>
      <w:tblPr>
        <w:tblStyle w:val="18"/>
        <w:tblW w:w="871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1235"/>
        <w:gridCol w:w="4223"/>
        <w:gridCol w:w="26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6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工程内容</w:t>
            </w:r>
          </w:p>
        </w:tc>
        <w:tc>
          <w:tcPr>
            <w:tcW w:w="12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42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建设内容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9"/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beforeAutospacing="0" w:after="0" w:afterLines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主体工程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化工品仓库（甲类仓库）</w:t>
            </w:r>
          </w:p>
        </w:tc>
        <w:tc>
          <w:tcPr>
            <w:tcW w:w="4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2座，建筑面积分别为724.5m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和686.74m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，每座设置三个防火分区（设置墙体隔开）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位于装车区域地块南部，本次新建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" w:hRule="atLeast"/>
          <w:jc w:val="center"/>
        </w:trPr>
        <w:tc>
          <w:tcPr>
            <w:tcW w:w="63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辅助工程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办公生活</w:t>
            </w:r>
          </w:p>
        </w:tc>
        <w:tc>
          <w:tcPr>
            <w:tcW w:w="4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依托现有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依托现有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丙类仓库</w:t>
            </w:r>
          </w:p>
        </w:tc>
        <w:tc>
          <w:tcPr>
            <w:tcW w:w="4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拆除后保留建筑面积1240m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，用于暂存少量杂物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位于装车区域地块南部和东部，本次</w:t>
            </w: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缩小规模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备用罐棚</w:t>
            </w:r>
          </w:p>
        </w:tc>
        <w:tc>
          <w:tcPr>
            <w:tcW w:w="4223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建设面积约300m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，设置3个60m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vertAlign w:val="superscript"/>
                <w:lang w:val="en-US" w:eastAsia="zh-CN" w:bidi="ar-SA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卧式空置储罐，发生应急事故时临时贮存油品、废液、消防废水等</w:t>
            </w:r>
          </w:p>
        </w:tc>
        <w:tc>
          <w:tcPr>
            <w:tcW w:w="2623" w:type="dxa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位于装车区域地块北部，依托现有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危险废物暂存间</w:t>
            </w:r>
          </w:p>
        </w:tc>
        <w:tc>
          <w:tcPr>
            <w:tcW w:w="4223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用于危险废物暂存，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占地面积约10m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2623" w:type="dxa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位于装车区域地块北部，依托现有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消防水罐</w:t>
            </w:r>
          </w:p>
        </w:tc>
        <w:tc>
          <w:tcPr>
            <w:tcW w:w="4223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2个500m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消防水罐</w:t>
            </w:r>
          </w:p>
        </w:tc>
        <w:tc>
          <w:tcPr>
            <w:tcW w:w="2623" w:type="dxa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位于装车区域地块北部，依托现有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消防水池</w:t>
            </w:r>
          </w:p>
        </w:tc>
        <w:tc>
          <w:tcPr>
            <w:tcW w:w="4223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1个500m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消防水池</w:t>
            </w:r>
          </w:p>
        </w:tc>
        <w:tc>
          <w:tcPr>
            <w:tcW w:w="2623" w:type="dxa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位于辅助区域地块中部，依托现有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密闭式事故存液池</w:t>
            </w:r>
          </w:p>
        </w:tc>
        <w:tc>
          <w:tcPr>
            <w:tcW w:w="4223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现有1个450m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密闭式事故存液池，新建1个408m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superscript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密闭式事故存液池</w:t>
            </w:r>
          </w:p>
        </w:tc>
        <w:tc>
          <w:tcPr>
            <w:tcW w:w="2623" w:type="dxa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位于辅助区域地块西部的现有事故池不变，新建事故池位于装车区域地块东北部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配电间</w:t>
            </w:r>
          </w:p>
        </w:tc>
        <w:tc>
          <w:tcPr>
            <w:tcW w:w="4223" w:type="dxa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建筑面积约24m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2623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位于辅助区域地块东部，依托现有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637" w:type="dxa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公用工程</w:t>
            </w: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给水系统</w:t>
            </w:r>
          </w:p>
        </w:tc>
        <w:tc>
          <w:tcPr>
            <w:tcW w:w="4223" w:type="dxa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由市政供水管网提供</w:t>
            </w:r>
          </w:p>
        </w:tc>
        <w:tc>
          <w:tcPr>
            <w:tcW w:w="2623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依托现有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供电系统</w:t>
            </w:r>
          </w:p>
        </w:tc>
        <w:tc>
          <w:tcPr>
            <w:tcW w:w="4223" w:type="dxa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由市政供电管网提供</w:t>
            </w:r>
          </w:p>
        </w:tc>
        <w:tc>
          <w:tcPr>
            <w:tcW w:w="2623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依托现有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637" w:type="dxa"/>
            <w:vMerge w:val="restart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环保工程</w:t>
            </w: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废气</w:t>
            </w:r>
          </w:p>
        </w:tc>
        <w:tc>
          <w:tcPr>
            <w:tcW w:w="6846" w:type="dxa"/>
            <w:gridSpan w:val="2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  <w:t>本次新建化工品仓库储存物品均为密封桶装形式，正常情况下无废气产生。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废水</w:t>
            </w:r>
          </w:p>
        </w:tc>
        <w:tc>
          <w:tcPr>
            <w:tcW w:w="6846" w:type="dxa"/>
            <w:gridSpan w:val="2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采用拖布清扫方式打扫地面</w:t>
            </w: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lang w:val="en-US" w:eastAsia="zh-CN"/>
              </w:rPr>
              <w:t>，且不新增员工，不产生清洗废水和办公生活污水。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噪声</w:t>
            </w:r>
          </w:p>
        </w:tc>
        <w:tc>
          <w:tcPr>
            <w:tcW w:w="6846" w:type="dxa"/>
            <w:gridSpan w:val="2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选用低噪声设备，主要设备基础减震、隔声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jc w:val="center"/>
        </w:trPr>
        <w:tc>
          <w:tcPr>
            <w:tcW w:w="637" w:type="dxa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235" w:type="dxa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固废</w:t>
            </w:r>
          </w:p>
        </w:tc>
        <w:tc>
          <w:tcPr>
            <w:tcW w:w="6846" w:type="dxa"/>
            <w:gridSpan w:val="2"/>
            <w:tcBorders>
              <w:left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21" w:leftChars="10" w:right="21" w:rightChars="10"/>
              <w:jc w:val="both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-US" w:eastAsia="zh-CN" w:bidi="ar"/>
              </w:rPr>
              <w:t>项目不新增员工，不新增办公生活垃圾；维修过程产生的废油、废油桶及含油抹布等危险废物依托现有危险废物暂存间，定期交由有资质单位处理。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报告表的评价结论，在全面落实报告表中提出的各项污染防治和风险防范措施，并确保污染物排放稳定达标且符合总量要求的前提下，项目按照报告表中所列性质、规模、地点和拟采取的环境保护措施进行建设，从环境保护角度可行。我局原则通过对报告表的审查，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应按照报告表内容组织实施。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严格执行“三同时”制度，并落实各项污染防治措施，污染防治设施要同时设计、同时施工、同时投入运行。项目竣工后，你公司须按规定的标准和程序，对配套建设的环境保护设施进行验收，验收合格后方可投入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）该项目须加强环保管理，严格按照环评的要求做好各项污染防治措施，确保项目产生的噪声得到有效治理和持续稳定达标排放。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场界执行《工业企业厂界环境噪声排放标准》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（GB12348-2008）中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2类标准限值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）该项目须加强危险废物的管理。1.严格按照《危险废物贮存污染控制标准》（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GB18597-20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及其修改单）中的相关规定设计建设危险废物暂存间，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满足</w:t>
      </w:r>
      <w:r>
        <w:rPr>
          <w:rFonts w:hint="eastAsia" w:ascii="仿宋_GB2312" w:hAnsi="仿宋_GB2312" w:eastAsia="仿宋_GB2312" w:cs="仿宋_GB2312"/>
          <w:sz w:val="32"/>
          <w:szCs w:val="32"/>
        </w:rPr>
        <w:t>防雨、防渗、防风、防晒、防漏等要求，并设置截留沟；2.危险废物须交由有资质的单位进行安全处置；3.建立危险废物管理台账，存档备查。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四、若项目的性质、规模、地点、生产工艺或者防治污染的措施发生重大变动，应重新报批项目的环境影响评价文件。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5760" w:firstLineChars="18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2023年12月13日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D1DF47"/>
    <w:multiLevelType w:val="singleLevel"/>
    <w:tmpl w:val="E4D1DF47"/>
    <w:lvl w:ilvl="0" w:tentative="0">
      <w:start w:val="1"/>
      <w:numFmt w:val="bullet"/>
      <w:pStyle w:val="8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ZDY3YzZjMTUzNTRjMDY3ZTk4NWVhMjllZWZhMjYifQ=="/>
  </w:docVars>
  <w:rsids>
    <w:rsidRoot w:val="09505094"/>
    <w:rsid w:val="09505094"/>
    <w:rsid w:val="10E748D4"/>
    <w:rsid w:val="2C7C7714"/>
    <w:rsid w:val="4B054507"/>
    <w:rsid w:val="556A6534"/>
    <w:rsid w:val="5B127989"/>
    <w:rsid w:val="664B1C51"/>
    <w:rsid w:val="670F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ind w:firstLine="510"/>
      <w:jc w:val="center"/>
      <w:outlineLvl w:val="0"/>
    </w:pPr>
    <w:rPr>
      <w:sz w:val="28"/>
      <w:szCs w:val="20"/>
    </w:rPr>
  </w:style>
  <w:style w:type="character" w:default="1" w:styleId="19">
    <w:name w:val="Default Paragraph Font"/>
    <w:semiHidden/>
    <w:uiPriority w:val="0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E-mail Signature"/>
    <w:basedOn w:val="1"/>
    <w:next w:val="4"/>
    <w:qFormat/>
    <w:uiPriority w:val="0"/>
    <w:pPr>
      <w:spacing w:line="460" w:lineRule="exact"/>
      <w:ind w:firstLine="200"/>
    </w:pPr>
    <w:rPr>
      <w:rFonts w:ascii="Times New Roman" w:hAnsi="Times New Roman" w:eastAsia="宋体" w:cs="Times New Roman"/>
    </w:rPr>
  </w:style>
  <w:style w:type="paragraph" w:customStyle="1" w:styleId="4">
    <w:name w:val="文章"/>
    <w:basedOn w:val="5"/>
    <w:next w:val="7"/>
    <w:qFormat/>
    <w:uiPriority w:val="0"/>
    <w:pPr>
      <w:widowControl/>
      <w:spacing w:line="240" w:lineRule="auto"/>
      <w:ind w:firstLine="480"/>
      <w:jc w:val="center"/>
    </w:pPr>
    <w:rPr>
      <w:rFonts w:ascii="Times New Roman" w:hAnsi="Times New Roman" w:eastAsia="宋体" w:cs="Times New Roman"/>
      <w:sz w:val="26"/>
    </w:rPr>
  </w:style>
  <w:style w:type="paragraph" w:styleId="5">
    <w:name w:val="Body Text Indent"/>
    <w:basedOn w:val="1"/>
    <w:next w:val="6"/>
    <w:qFormat/>
    <w:uiPriority w:val="0"/>
    <w:pPr>
      <w:ind w:left="720"/>
    </w:pPr>
    <w:rPr>
      <w:sz w:val="28"/>
    </w:rPr>
  </w:style>
  <w:style w:type="paragraph" w:customStyle="1" w:styleId="6">
    <w:name w:val="样式 标题 1一级标题 + 段前: 0.5 行 段后: 0.5 行"/>
    <w:basedOn w:val="2"/>
    <w:qFormat/>
    <w:uiPriority w:val="99"/>
    <w:pPr>
      <w:spacing w:line="320" w:lineRule="exact"/>
      <w:outlineLvl w:val="9"/>
    </w:pPr>
    <w:rPr>
      <w:spacing w:val="-6"/>
      <w:sz w:val="21"/>
      <w:szCs w:val="21"/>
    </w:rPr>
  </w:style>
  <w:style w:type="paragraph" w:styleId="7">
    <w:name w:val="List"/>
    <w:basedOn w:val="1"/>
    <w:next w:val="8"/>
    <w:qFormat/>
    <w:uiPriority w:val="0"/>
    <w:pPr>
      <w:adjustRightInd w:val="0"/>
      <w:spacing w:line="288" w:lineRule="auto"/>
      <w:ind w:left="200" w:hanging="200" w:hangingChars="200"/>
      <w:textAlignment w:val="baseline"/>
    </w:pPr>
    <w:rPr>
      <w:rFonts w:ascii="Calibri" w:hAnsi="Calibri"/>
      <w:kern w:val="0"/>
      <w:sz w:val="24"/>
    </w:rPr>
  </w:style>
  <w:style w:type="paragraph" w:styleId="8">
    <w:name w:val="List Bullet 2"/>
    <w:basedOn w:val="1"/>
    <w:next w:val="9"/>
    <w:qFormat/>
    <w:uiPriority w:val="0"/>
    <w:pPr>
      <w:numPr>
        <w:ilvl w:val="0"/>
        <w:numId w:val="1"/>
      </w:numPr>
    </w:pPr>
  </w:style>
  <w:style w:type="paragraph" w:customStyle="1" w:styleId="9">
    <w:name w:val="xl70"/>
    <w:basedOn w:val="1"/>
    <w:next w:val="10"/>
    <w:qFormat/>
    <w:uiPriority w:val="0"/>
    <w:pPr>
      <w:widowControl/>
      <w:spacing w:before="280" w:after="280" w:line="240" w:lineRule="auto"/>
      <w:ind w:firstLine="0"/>
    </w:pPr>
    <w:rPr>
      <w:rFonts w:ascii="宋体" w:hAnsi="Times New Roman" w:eastAsia="宋体" w:cs="Times New Roman"/>
    </w:rPr>
  </w:style>
  <w:style w:type="paragraph" w:customStyle="1" w:styleId="10">
    <w:name w:val="正文缩进1"/>
    <w:basedOn w:val="1"/>
    <w:next w:val="11"/>
    <w:qFormat/>
    <w:uiPriority w:val="0"/>
    <w:pPr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11">
    <w:name w:val="td1"/>
    <w:basedOn w:val="1"/>
    <w:next w:val="1"/>
    <w:qFormat/>
    <w:uiPriority w:val="0"/>
    <w:pPr>
      <w:widowControl/>
      <w:spacing w:before="280" w:after="280" w:line="300" w:lineRule="atLeast"/>
      <w:ind w:firstLine="200"/>
    </w:pPr>
    <w:rPr>
      <w:rFonts w:ascii="Times New Roman" w:hAnsi="Times New Roman" w:eastAsia="宋体" w:cs="Times New Roman"/>
      <w:color w:val="000000"/>
      <w:sz w:val="18"/>
    </w:rPr>
  </w:style>
  <w:style w:type="paragraph" w:styleId="12">
    <w:name w:val="caption"/>
    <w:basedOn w:val="1"/>
    <w:next w:val="1"/>
    <w:qFormat/>
    <w:uiPriority w:val="0"/>
    <w:rPr>
      <w:rFonts w:ascii="Calibri Light" w:hAnsi="Calibri Light" w:eastAsia="黑体" w:cs="Times New Roman"/>
      <w:sz w:val="20"/>
    </w:rPr>
  </w:style>
  <w:style w:type="paragraph" w:styleId="13">
    <w:name w:val="annotation text"/>
    <w:basedOn w:val="1"/>
    <w:next w:val="14"/>
    <w:qFormat/>
    <w:uiPriority w:val="0"/>
    <w:pPr>
      <w:jc w:val="left"/>
    </w:pPr>
  </w:style>
  <w:style w:type="paragraph" w:styleId="14">
    <w:name w:val="toc 5"/>
    <w:basedOn w:val="1"/>
    <w:next w:val="1"/>
    <w:qFormat/>
    <w:uiPriority w:val="0"/>
    <w:pPr>
      <w:ind w:left="1680" w:leftChars="800"/>
    </w:pPr>
  </w:style>
  <w:style w:type="paragraph" w:styleId="15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16">
    <w:name w:val="Plain Text"/>
    <w:basedOn w:val="1"/>
    <w:next w:val="1"/>
    <w:qFormat/>
    <w:uiPriority w:val="0"/>
    <w:pPr>
      <w:widowControl/>
      <w:spacing w:after="160" w:line="259" w:lineRule="auto"/>
      <w:jc w:val="left"/>
    </w:pPr>
    <w:rPr>
      <w:rFonts w:ascii="宋体" w:hAnsi="Courier New"/>
      <w:sz w:val="20"/>
      <w:szCs w:val="20"/>
    </w:rPr>
  </w:style>
  <w:style w:type="paragraph" w:styleId="17">
    <w:name w:val="toc 2"/>
    <w:basedOn w:val="1"/>
    <w:next w:val="3"/>
    <w:qFormat/>
    <w:uiPriority w:val="0"/>
    <w:pPr>
      <w:ind w:left="210"/>
      <w:jc w:val="left"/>
    </w:pPr>
    <w:rPr>
      <w:rFonts w:ascii="Calibri" w:hAnsi="Calibri" w:eastAsia="宋体" w:cs="Calibri"/>
      <w:smallCaps/>
      <w:sz w:val="20"/>
    </w:rPr>
  </w:style>
  <w:style w:type="character" w:styleId="20">
    <w:name w:val="annotation reference"/>
    <w:semiHidden/>
    <w:qFormat/>
    <w:uiPriority w:val="0"/>
    <w:rPr>
      <w:sz w:val="21"/>
    </w:rPr>
  </w:style>
  <w:style w:type="paragraph" w:customStyle="1" w:styleId="21">
    <w:name w:val="Default"/>
    <w:basedOn w:val="22"/>
    <w:next w:val="1"/>
    <w:qFormat/>
    <w:uiPriority w:val="0"/>
    <w:pPr>
      <w:autoSpaceDE w:val="0"/>
      <w:autoSpaceDN w:val="0"/>
    </w:pPr>
    <w:rPr>
      <w:rFonts w:hAnsi="Times New Roman" w:eastAsia="宋体" w:cs="宋体"/>
      <w:color w:val="000000"/>
      <w:sz w:val="24"/>
      <w:szCs w:val="24"/>
    </w:rPr>
  </w:style>
  <w:style w:type="paragraph" w:customStyle="1" w:styleId="22">
    <w:name w:val="纯文本1"/>
    <w:basedOn w:val="1"/>
    <w:next w:val="16"/>
    <w:qFormat/>
    <w:uiPriority w:val="0"/>
    <w:pPr>
      <w:adjustRightInd w:val="0"/>
    </w:pPr>
    <w:rPr>
      <w:rFonts w:ascii="宋体" w:hAnsi="Courier New"/>
      <w:szCs w:val="20"/>
    </w:rPr>
  </w:style>
  <w:style w:type="paragraph" w:customStyle="1" w:styleId="23">
    <w:name w:val="文本"/>
    <w:basedOn w:val="1"/>
    <w:next w:val="1"/>
    <w:qFormat/>
    <w:uiPriority w:val="0"/>
    <w:pPr>
      <w:autoSpaceDE w:val="0"/>
      <w:autoSpaceDN w:val="0"/>
      <w:ind w:firstLine="480"/>
    </w:pPr>
    <w:rPr>
      <w:lang w:val="zh-CN"/>
    </w:rPr>
  </w:style>
  <w:style w:type="paragraph" w:customStyle="1" w:styleId="24">
    <w:name w:val="样式35"/>
    <w:basedOn w:val="25"/>
    <w:next w:val="26"/>
    <w:qFormat/>
    <w:uiPriority w:val="0"/>
    <w:pPr>
      <w:spacing w:line="312" w:lineRule="auto"/>
      <w:ind w:firstLine="567"/>
    </w:pPr>
    <w:rPr>
      <w:rFonts w:ascii="宋体" w:hAnsi="Times New Roman" w:eastAsia="宋体" w:cs="Times New Roman"/>
      <w:sz w:val="28"/>
    </w:rPr>
  </w:style>
  <w:style w:type="paragraph" w:customStyle="1" w:styleId="25">
    <w:name w:val="表 内容"/>
    <w:basedOn w:val="1"/>
    <w:qFormat/>
    <w:uiPriority w:val="0"/>
    <w:pPr>
      <w:adjustRightInd w:val="0"/>
      <w:snapToGrid w:val="0"/>
      <w:spacing w:beforeLines="15" w:afterLines="15"/>
      <w:jc w:val="center"/>
    </w:pPr>
    <w:rPr>
      <w:sz w:val="21"/>
      <w:szCs w:val="21"/>
    </w:rPr>
  </w:style>
  <w:style w:type="paragraph" w:customStyle="1" w:styleId="26">
    <w:name w:val="font6"/>
    <w:basedOn w:val="1"/>
    <w:next w:val="17"/>
    <w:qFormat/>
    <w:uiPriority w:val="0"/>
    <w:pPr>
      <w:widowControl/>
      <w:spacing w:before="280" w:after="280" w:line="240" w:lineRule="auto"/>
      <w:ind w:firstLine="0"/>
    </w:pPr>
    <w:rPr>
      <w:rFonts w:ascii="Times New Roman" w:hAnsi="Times New Roman" w:eastAsia="宋体" w:cs="Times New Roman"/>
      <w:sz w:val="21"/>
    </w:rPr>
  </w:style>
  <w:style w:type="paragraph" w:customStyle="1" w:styleId="27">
    <w:name w:val="表格内文字"/>
    <w:qFormat/>
    <w:uiPriority w:val="0"/>
    <w:pPr>
      <w:tabs>
        <w:tab w:val="left" w:pos="90"/>
      </w:tabs>
      <w:jc w:val="center"/>
    </w:pPr>
    <w:rPr>
      <w:rFonts w:ascii="Times New Roman" w:hAnsi="Times New Roman" w:eastAsia="宋体" w:cs="宋体"/>
      <w:sz w:val="21"/>
      <w:szCs w:val="24"/>
      <w:lang w:val="en-US" w:eastAsia="zh-CN" w:bidi="ar-SA"/>
    </w:rPr>
  </w:style>
  <w:style w:type="paragraph" w:customStyle="1" w:styleId="28">
    <w:name w:val="表格字体杜"/>
    <w:basedOn w:val="1"/>
    <w:qFormat/>
    <w:uiPriority w:val="0"/>
    <w:pPr>
      <w:adjustRightInd w:val="0"/>
      <w:snapToGrid w:val="0"/>
      <w:jc w:val="center"/>
    </w:pPr>
    <w:rPr>
      <w:szCs w:val="21"/>
    </w:rPr>
  </w:style>
  <w:style w:type="paragraph" w:customStyle="1" w:styleId="29">
    <w:name w:val="Table Paragraph"/>
    <w:basedOn w:val="1"/>
    <w:unhideWhenUsed/>
    <w:qFormat/>
    <w:uiPriority w:val="1"/>
    <w:pPr>
      <w:spacing w:beforeLines="0" w:afterLines="0"/>
    </w:pPr>
    <w:rPr>
      <w:rFonts w:hint="default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2703</Words>
  <Characters>2917</Characters>
  <Lines>0</Lines>
  <Paragraphs>0</Paragraphs>
  <TotalTime>4</TotalTime>
  <ScaleCrop>false</ScaleCrop>
  <LinksUpToDate>false</LinksUpToDate>
  <CharactersWithSpaces>2924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2022-10-18T07:35:00Z</dcterms:created>
  <dc:creator>孙不鸦</dc:creator>
  <cp:lastModifiedBy>孙不鸦</cp:lastModifiedBy>
  <dcterms:modified xsi:type="dcterms:W3CDTF">2023-12-12T07:50:32Z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BB3408D250114C66822E8BEC96C76DF2</vt:lpwstr>
  </property>
</Properties>
</file>