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eastAsia" w:ascii="仿宋_GB2312" w:eastAsia="仿宋_GB2312"/>
          <w:sz w:val="32"/>
          <w:szCs w:val="32"/>
          <w:lang w:val="en-US" w:eastAsia="zh-CN"/>
        </w:rPr>
      </w:pP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w:t>
      </w:r>
      <w:r>
        <w:rPr>
          <w:rFonts w:hint="eastAsia" w:ascii="仿宋_GB2312" w:eastAsia="仿宋_GB2312"/>
          <w:sz w:val="32"/>
          <w:szCs w:val="32"/>
          <w:lang w:val="en-US" w:eastAsia="zh-CN"/>
        </w:rPr>
        <w:t>8</w:t>
      </w:r>
      <w:r>
        <w:rPr>
          <w:rFonts w:hint="eastAsia" w:ascii="仿宋_GB2312" w:eastAsia="仿宋_GB2312"/>
          <w:sz w:val="32"/>
          <w:szCs w:val="32"/>
        </w:rPr>
        <w:t>号</w:t>
      </w:r>
    </w:p>
    <w:p>
      <w:pPr>
        <w:pStyle w:val="14"/>
        <w:wordWrap/>
        <w:rPr>
          <w:rFonts w:hint="eastAsia"/>
          <w:sz w:val="15"/>
          <w:szCs w:val="15"/>
        </w:rPr>
      </w:pPr>
    </w:p>
    <w:p>
      <w:pPr>
        <w:spacing w:line="520" w:lineRule="exact"/>
        <w:jc w:val="center"/>
        <w:rPr>
          <w:rFonts w:ascii="小标宋" w:eastAsia="小标宋"/>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湛江市霞山水产品批发市场（农海产品中心）污水整改项目</w:t>
      </w:r>
      <w:r>
        <w:rPr>
          <w:rFonts w:hint="eastAsia" w:ascii="方正小标宋简体" w:hAnsi="方正小标宋简体" w:eastAsia="方正小标宋简体" w:cs="方正小标宋简体"/>
          <w:sz w:val="44"/>
          <w:szCs w:val="44"/>
        </w:rPr>
        <w:t>环境影响报告表的批复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湛江市</w:t>
      </w:r>
      <w:r>
        <w:rPr>
          <w:rFonts w:hint="default" w:ascii="仿宋_GB2312" w:hAnsi="仿宋_GB2312" w:eastAsia="仿宋_GB2312" w:cs="仿宋_GB2312"/>
          <w:sz w:val="32"/>
          <w:szCs w:val="32"/>
        </w:rPr>
        <w:t>霞山水产品批发市场</w:t>
      </w:r>
      <w:r>
        <w:rPr>
          <w:rFonts w:hint="eastAsia" w:ascii="仿宋_GB2312" w:hAnsi="仿宋_GB2312" w:eastAsia="仿宋_GB2312" w:cs="仿宋_GB2312"/>
          <w:sz w:val="32"/>
          <w:szCs w:val="32"/>
          <w:lang w:val="en-US" w:eastAsia="zh-CN"/>
        </w:rPr>
        <w:t>有限公司</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报批的《湛江市霞山水产品批发市场（农海产品中心）污水整改项目环境影响报告表》（以下简称“报告表”）等材料收悉。经研究，批复如下：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项目位于</w:t>
      </w:r>
      <w:r>
        <w:rPr>
          <w:rFonts w:hint="eastAsia" w:ascii="仿宋_GB2312" w:hAnsi="仿宋_GB2312" w:eastAsia="仿宋_GB2312" w:cs="仿宋_GB2312"/>
          <w:sz w:val="32"/>
          <w:szCs w:val="32"/>
        </w:rPr>
        <w:t>广东省湛江市霞山区疏港大道与湖光路交汇处霞山水产品批发市场内</w:t>
      </w:r>
      <w:r>
        <w:rPr>
          <w:rFonts w:hint="eastAsia" w:ascii="仿宋_GB2312" w:hAnsi="仿宋_GB2312" w:eastAsia="仿宋_GB2312" w:cs="仿宋_GB2312"/>
          <w:sz w:val="32"/>
          <w:szCs w:val="32"/>
          <w:lang w:val="en-US" w:eastAsia="zh-CN"/>
        </w:rPr>
        <w:t>，属于改建项目，对原有污水处理设施进行升级改造，</w:t>
      </w:r>
      <w:r>
        <w:rPr>
          <w:rFonts w:hint="default"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lang w:val="en-US" w:eastAsia="zh-CN"/>
        </w:rPr>
        <w:t>改造完成</w:t>
      </w:r>
      <w:r>
        <w:rPr>
          <w:rFonts w:hint="default" w:ascii="仿宋_GB2312" w:hAnsi="仿宋_GB2312" w:eastAsia="仿宋_GB2312" w:cs="仿宋_GB2312"/>
          <w:sz w:val="32"/>
          <w:szCs w:val="32"/>
          <w:lang w:val="en-US" w:eastAsia="zh-CN"/>
        </w:rPr>
        <w:t>后</w:t>
      </w:r>
      <w:r>
        <w:rPr>
          <w:rFonts w:hint="eastAsia" w:ascii="仿宋_GB2312" w:hAnsi="仿宋_GB2312" w:eastAsia="仿宋_GB2312" w:cs="仿宋_GB2312"/>
          <w:sz w:val="32"/>
          <w:szCs w:val="32"/>
        </w:rPr>
        <w:t>日处理污水3000吨</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本项目污水处理</w:t>
      </w:r>
      <w:r>
        <w:rPr>
          <w:rFonts w:hint="eastAsia" w:ascii="仿宋_GB2312" w:hAnsi="仿宋_GB2312" w:eastAsia="仿宋_GB2312" w:cs="仿宋_GB2312"/>
          <w:sz w:val="32"/>
          <w:szCs w:val="32"/>
          <w:lang w:val="en-US" w:eastAsia="zh-CN"/>
        </w:rPr>
        <w:t>站</w:t>
      </w:r>
      <w:r>
        <w:rPr>
          <w:rFonts w:hint="eastAsia" w:ascii="仿宋_GB2312" w:hAnsi="仿宋_GB2312" w:eastAsia="仿宋_GB2312" w:cs="仿宋_GB2312"/>
          <w:sz w:val="32"/>
          <w:szCs w:val="32"/>
        </w:rPr>
        <w:t>主要建、构筑物包括：格栅池、调节池、水解池、厌氧池、厌氧池、缺氧池、一二级生物接触氧化池、除磷池、砂滤池和脱氮池、消毒及计量渠、污泥浓缩池、污泥反应池、污泥脱水间、管理用房等，</w:t>
      </w:r>
      <w:r>
        <w:rPr>
          <w:rFonts w:hint="eastAsia" w:ascii="仿宋_GB2312" w:hAnsi="仿宋_GB2312" w:eastAsia="仿宋_GB2312" w:cs="仿宋_GB2312"/>
          <w:sz w:val="32"/>
          <w:szCs w:val="32"/>
          <w:lang w:val="en-US" w:eastAsia="zh-CN"/>
        </w:rPr>
        <w:t>项目</w:t>
      </w:r>
      <w:r>
        <w:rPr>
          <w:rFonts w:hint="default" w:ascii="仿宋_GB2312" w:hAnsi="仿宋_GB2312" w:eastAsia="仿宋_GB2312" w:cs="仿宋_GB2312"/>
          <w:sz w:val="32"/>
          <w:szCs w:val="32"/>
          <w:lang w:val="en-US" w:eastAsia="zh-CN"/>
        </w:rPr>
        <w:t>总投资</w:t>
      </w:r>
      <w:r>
        <w:rPr>
          <w:rFonts w:hint="eastAsia" w:ascii="仿宋_GB2312" w:hAnsi="仿宋_GB2312" w:eastAsia="仿宋_GB2312" w:cs="仿宋_GB2312"/>
          <w:sz w:val="32"/>
          <w:szCs w:val="32"/>
          <w:lang w:val="en-US" w:eastAsia="zh-CN"/>
        </w:rPr>
        <w:t>12</w:t>
      </w:r>
      <w:r>
        <w:rPr>
          <w:rFonts w:hint="default" w:ascii="仿宋_GB2312" w:hAnsi="仿宋_GB2312" w:eastAsia="仿宋_GB2312" w:cs="仿宋_GB2312"/>
          <w:sz w:val="32"/>
          <w:szCs w:val="32"/>
          <w:lang w:val="en-US" w:eastAsia="zh-CN"/>
        </w:rPr>
        <w:t>0万元，其中环保投资</w:t>
      </w:r>
      <w:r>
        <w:rPr>
          <w:rFonts w:hint="eastAsia" w:ascii="仿宋_GB2312" w:hAnsi="仿宋_GB2312" w:eastAsia="仿宋_GB2312" w:cs="仿宋_GB2312"/>
          <w:sz w:val="32"/>
          <w:szCs w:val="32"/>
          <w:lang w:val="en-US" w:eastAsia="zh-CN"/>
        </w:rPr>
        <w:t>120</w:t>
      </w:r>
      <w:r>
        <w:rPr>
          <w:rFonts w:hint="default" w:ascii="仿宋_GB2312" w:hAnsi="仿宋_GB2312" w:eastAsia="仿宋_GB2312" w:cs="仿宋_GB2312"/>
          <w:sz w:val="32"/>
          <w:szCs w:val="32"/>
          <w:lang w:val="en-US" w:eastAsia="zh-CN"/>
        </w:rPr>
        <w:t>万元。项目主要建设内容</w:t>
      </w:r>
      <w:r>
        <w:rPr>
          <w:rFonts w:hint="eastAsia" w:ascii="仿宋_GB2312" w:hAnsi="仿宋_GB2312" w:eastAsia="仿宋_GB2312" w:cs="仿宋_GB2312"/>
          <w:sz w:val="32"/>
          <w:szCs w:val="32"/>
          <w:lang w:val="en-US" w:eastAsia="zh-CN"/>
        </w:rPr>
        <w:t>及规模</w:t>
      </w:r>
      <w:r>
        <w:rPr>
          <w:rFonts w:hint="default" w:ascii="仿宋_GB2312" w:hAnsi="仿宋_GB2312" w:eastAsia="仿宋_GB2312" w:cs="仿宋_GB2312"/>
          <w:sz w:val="32"/>
          <w:szCs w:val="32"/>
          <w:lang w:val="en-US" w:eastAsia="zh-CN"/>
        </w:rPr>
        <w:t>见</w:t>
      </w:r>
      <w:r>
        <w:rPr>
          <w:rFonts w:hint="default" w:ascii="仿宋_GB2312" w:hAnsi="仿宋_GB2312" w:eastAsia="仿宋_GB2312" w:cs="仿宋_GB2312"/>
          <w:sz w:val="32"/>
          <w:szCs w:val="32"/>
          <w:lang w:val="en-US" w:eastAsia="zh-CN"/>
        </w:rPr>
        <w:fldChar w:fldCharType="begin"/>
      </w:r>
      <w:r>
        <w:rPr>
          <w:rFonts w:hint="default" w:ascii="仿宋_GB2312" w:hAnsi="仿宋_GB2312" w:eastAsia="仿宋_GB2312" w:cs="仿宋_GB2312"/>
          <w:sz w:val="32"/>
          <w:szCs w:val="32"/>
          <w:lang w:val="en-US" w:eastAsia="zh-CN"/>
        </w:rPr>
        <w:instrText xml:space="preserve"> REF _Ref1741030331 \h </w:instrText>
      </w:r>
      <w:r>
        <w:rPr>
          <w:rFonts w:hint="default" w:ascii="仿宋_GB2312" w:hAnsi="仿宋_GB2312" w:eastAsia="仿宋_GB2312" w:cs="仿宋_GB2312"/>
          <w:sz w:val="32"/>
          <w:szCs w:val="32"/>
          <w:lang w:val="en-US" w:eastAsia="zh-CN"/>
        </w:rPr>
        <w:fldChar w:fldCharType="separate"/>
      </w:r>
      <w:r>
        <w:rPr>
          <w:rFonts w:hint="default" w:ascii="仿宋_GB2312" w:hAnsi="仿宋_GB2312" w:eastAsia="仿宋_GB2312" w:cs="仿宋_GB2312"/>
          <w:sz w:val="32"/>
          <w:szCs w:val="32"/>
          <w:lang w:val="en-US" w:eastAsia="zh-CN"/>
        </w:rPr>
        <w:t>表1</w:t>
      </w:r>
      <w:r>
        <w:rPr>
          <w:rFonts w:hint="default" w:ascii="仿宋_GB2312" w:hAnsi="仿宋_GB2312" w:eastAsia="仿宋_GB2312" w:cs="仿宋_GB2312"/>
          <w:sz w:val="32"/>
          <w:szCs w:val="32"/>
          <w:lang w:val="en-US" w:eastAsia="zh-CN"/>
        </w:rPr>
        <w:fldChar w:fldCharType="end"/>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b/>
          <w:bCs/>
          <w:color w:val="auto"/>
          <w:sz w:val="24"/>
        </w:rPr>
      </w:pPr>
      <w:r>
        <w:rPr>
          <w:b/>
          <w:bCs/>
          <w:color w:val="auto"/>
          <w:sz w:val="24"/>
        </w:rPr>
        <w:t>表</w:t>
      </w:r>
      <w:r>
        <w:rPr>
          <w:rFonts w:hint="eastAsia"/>
          <w:b/>
          <w:bCs/>
          <w:color w:val="auto"/>
          <w:sz w:val="24"/>
          <w:lang w:val="en-US" w:eastAsia="zh-CN"/>
        </w:rPr>
        <w:t>1</w:t>
      </w:r>
      <w:r>
        <w:rPr>
          <w:b/>
          <w:bCs/>
          <w:color w:val="auto"/>
          <w:sz w:val="24"/>
        </w:rPr>
        <w:t xml:space="preserve">  项目主要建设内容及规模</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29"/>
        <w:gridCol w:w="1858"/>
        <w:gridCol w:w="5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blHeader/>
        </w:trPr>
        <w:tc>
          <w:tcPr>
            <w:tcW w:w="550" w:type="pct"/>
            <w:vAlign w:val="center"/>
          </w:tcPr>
          <w:p>
            <w:pPr>
              <w:pStyle w:val="26"/>
            </w:pPr>
            <w:r>
              <w:t>类 别</w:t>
            </w:r>
          </w:p>
        </w:tc>
        <w:tc>
          <w:tcPr>
            <w:tcW w:w="1100" w:type="pct"/>
            <w:vAlign w:val="center"/>
          </w:tcPr>
          <w:p>
            <w:pPr>
              <w:pStyle w:val="26"/>
            </w:pPr>
            <w:r>
              <w:t>项 目</w:t>
            </w:r>
          </w:p>
        </w:tc>
        <w:tc>
          <w:tcPr>
            <w:tcW w:w="3300" w:type="pct"/>
            <w:vAlign w:val="center"/>
          </w:tcPr>
          <w:p>
            <w:pPr>
              <w:pStyle w:val="26"/>
              <w:rPr>
                <w:rFonts w:hint="default" w:eastAsiaTheme="minorEastAsia"/>
                <w:lang w:val="en-US" w:eastAsia="zh-CN"/>
              </w:rPr>
            </w:pPr>
            <w:r>
              <w:t>主要建设内容</w:t>
            </w:r>
            <w:r>
              <w:rPr>
                <w:rFonts w:hint="eastAsia"/>
                <w:lang w:val="en-US" w:eastAsia="zh-CN"/>
              </w:rPr>
              <w:t>及规模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1" w:hRule="atLeast"/>
        </w:trPr>
        <w:tc>
          <w:tcPr>
            <w:tcW w:w="550" w:type="pct"/>
            <w:vAlign w:val="center"/>
          </w:tcPr>
          <w:p>
            <w:pPr>
              <w:pStyle w:val="26"/>
            </w:pPr>
            <w:r>
              <w:t>主体工程</w:t>
            </w:r>
          </w:p>
        </w:tc>
        <w:tc>
          <w:tcPr>
            <w:tcW w:w="1100" w:type="pct"/>
            <w:vAlign w:val="center"/>
          </w:tcPr>
          <w:p>
            <w:pPr>
              <w:pStyle w:val="26"/>
            </w:pPr>
            <w:r>
              <w:rPr>
                <w:rFonts w:hint="eastAsia"/>
              </w:rPr>
              <w:t>处理车间</w:t>
            </w:r>
          </w:p>
        </w:tc>
        <w:tc>
          <w:tcPr>
            <w:tcW w:w="3300" w:type="pct"/>
            <w:vAlign w:val="center"/>
          </w:tcPr>
          <w:p>
            <w:pPr>
              <w:pStyle w:val="26"/>
            </w:pPr>
            <w:r>
              <w:rPr>
                <w:rFonts w:hint="eastAsia"/>
              </w:rPr>
              <w:t>项目露天设置，处理流程为格栅池+调节池+水解池（+气浮机）+厌氧池+缺氧池+一二级生物接触氧化池+除磷池+砂滤池+脱氮池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550" w:type="pct"/>
            <w:vMerge w:val="restart"/>
            <w:vAlign w:val="center"/>
          </w:tcPr>
          <w:p>
            <w:pPr>
              <w:pStyle w:val="26"/>
            </w:pPr>
            <w:r>
              <w:t>公辅工程</w:t>
            </w:r>
          </w:p>
        </w:tc>
        <w:tc>
          <w:tcPr>
            <w:tcW w:w="1100" w:type="pct"/>
            <w:vAlign w:val="center"/>
          </w:tcPr>
          <w:p>
            <w:pPr>
              <w:pStyle w:val="26"/>
            </w:pPr>
            <w:r>
              <w:t>给水工程</w:t>
            </w:r>
          </w:p>
        </w:tc>
        <w:tc>
          <w:tcPr>
            <w:tcW w:w="3300" w:type="pct"/>
            <w:vAlign w:val="center"/>
          </w:tcPr>
          <w:p>
            <w:pPr>
              <w:pStyle w:val="26"/>
            </w:pPr>
            <w:r>
              <w:rPr>
                <w:rFonts w:hint="eastAsia"/>
              </w:rPr>
              <w:t>污水站设置员工4人，三班倒值班，但站内没有生活设施，没有生活污水，除了配药需要少量自来水外，没有其他给水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550" w:type="pct"/>
            <w:vMerge w:val="continue"/>
            <w:vAlign w:val="center"/>
          </w:tcPr>
          <w:p>
            <w:pPr>
              <w:pStyle w:val="26"/>
            </w:pPr>
          </w:p>
        </w:tc>
        <w:tc>
          <w:tcPr>
            <w:tcW w:w="1100" w:type="pct"/>
            <w:vAlign w:val="center"/>
          </w:tcPr>
          <w:p>
            <w:pPr>
              <w:pStyle w:val="26"/>
            </w:pPr>
            <w:r>
              <w:t>排水工程</w:t>
            </w:r>
          </w:p>
        </w:tc>
        <w:tc>
          <w:tcPr>
            <w:tcW w:w="3300" w:type="pct"/>
            <w:vAlign w:val="center"/>
          </w:tcPr>
          <w:p>
            <w:pPr>
              <w:pStyle w:val="26"/>
            </w:pPr>
            <w:r>
              <w:t>实行雨污分流</w:t>
            </w:r>
            <w:r>
              <w:rPr>
                <w:rFonts w:hint="eastAsia"/>
              </w:rPr>
              <w:t>，污水经处理后排入管网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550" w:type="pct"/>
            <w:vMerge w:val="continue"/>
            <w:vAlign w:val="center"/>
          </w:tcPr>
          <w:p>
            <w:pPr>
              <w:pStyle w:val="26"/>
            </w:pPr>
          </w:p>
        </w:tc>
        <w:tc>
          <w:tcPr>
            <w:tcW w:w="1100" w:type="pct"/>
            <w:vAlign w:val="center"/>
          </w:tcPr>
          <w:p>
            <w:pPr>
              <w:pStyle w:val="26"/>
            </w:pPr>
            <w:r>
              <w:t>供电工程</w:t>
            </w:r>
          </w:p>
        </w:tc>
        <w:tc>
          <w:tcPr>
            <w:tcW w:w="3300" w:type="pct"/>
            <w:vAlign w:val="center"/>
          </w:tcPr>
          <w:p>
            <w:pPr>
              <w:pStyle w:val="26"/>
            </w:pPr>
            <w:r>
              <w:t>由</w:t>
            </w:r>
            <w:r>
              <w:rPr>
                <w:rFonts w:hint="eastAsia"/>
              </w:rPr>
              <w:t>市政电网</w:t>
            </w:r>
            <w:r>
              <w:t>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550" w:type="pct"/>
            <w:vMerge w:val="restart"/>
            <w:vAlign w:val="center"/>
          </w:tcPr>
          <w:p>
            <w:pPr>
              <w:pStyle w:val="26"/>
            </w:pPr>
            <w:r>
              <w:t>环保工程</w:t>
            </w:r>
          </w:p>
        </w:tc>
        <w:tc>
          <w:tcPr>
            <w:tcW w:w="1100" w:type="pct"/>
            <w:vAlign w:val="center"/>
          </w:tcPr>
          <w:p>
            <w:pPr>
              <w:pStyle w:val="26"/>
            </w:pPr>
            <w:r>
              <w:t>废水处理</w:t>
            </w:r>
          </w:p>
        </w:tc>
        <w:tc>
          <w:tcPr>
            <w:tcW w:w="3300" w:type="pct"/>
            <w:vAlign w:val="center"/>
          </w:tcPr>
          <w:p>
            <w:pPr>
              <w:pStyle w:val="26"/>
            </w:pPr>
            <w:r>
              <w:rPr>
                <w:rFonts w:hint="eastAsia"/>
              </w:rPr>
              <w:t>项目为污水站，职责就是处理污水，处理后接入管网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4" w:hRule="atLeast"/>
        </w:trPr>
        <w:tc>
          <w:tcPr>
            <w:tcW w:w="550" w:type="pct"/>
            <w:vMerge w:val="continue"/>
            <w:vAlign w:val="center"/>
          </w:tcPr>
          <w:p>
            <w:pPr>
              <w:pStyle w:val="26"/>
            </w:pPr>
          </w:p>
        </w:tc>
        <w:tc>
          <w:tcPr>
            <w:tcW w:w="1100" w:type="pct"/>
            <w:vAlign w:val="center"/>
          </w:tcPr>
          <w:p>
            <w:pPr>
              <w:pStyle w:val="26"/>
            </w:pPr>
            <w:r>
              <w:t>废气处理</w:t>
            </w:r>
          </w:p>
        </w:tc>
        <w:tc>
          <w:tcPr>
            <w:tcW w:w="3300" w:type="pct"/>
            <w:vAlign w:val="center"/>
          </w:tcPr>
          <w:p>
            <w:pPr>
              <w:pStyle w:val="26"/>
            </w:pPr>
            <w:r>
              <w:rPr>
                <w:rFonts w:hint="eastAsia"/>
              </w:rPr>
              <w:t>污水站恶臭气体通过加强通风，提高生化处理程度来减轻浓度和影响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55" w:hRule="atLeast"/>
        </w:trPr>
        <w:tc>
          <w:tcPr>
            <w:tcW w:w="550" w:type="pct"/>
            <w:vMerge w:val="continue"/>
            <w:vAlign w:val="center"/>
          </w:tcPr>
          <w:p>
            <w:pPr>
              <w:pStyle w:val="26"/>
            </w:pPr>
          </w:p>
        </w:tc>
        <w:tc>
          <w:tcPr>
            <w:tcW w:w="1100" w:type="pct"/>
            <w:vAlign w:val="center"/>
          </w:tcPr>
          <w:p>
            <w:pPr>
              <w:pStyle w:val="26"/>
            </w:pPr>
            <w:r>
              <w:t>噪声治理</w:t>
            </w:r>
          </w:p>
        </w:tc>
        <w:tc>
          <w:tcPr>
            <w:tcW w:w="3300" w:type="pct"/>
            <w:vAlign w:val="center"/>
          </w:tcPr>
          <w:p>
            <w:pPr>
              <w:pStyle w:val="26"/>
            </w:pPr>
            <w:r>
              <w:t>隔声、消声、减震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550" w:type="pct"/>
            <w:vMerge w:val="continue"/>
            <w:vAlign w:val="center"/>
          </w:tcPr>
          <w:p>
            <w:pPr>
              <w:pStyle w:val="26"/>
            </w:pPr>
          </w:p>
        </w:tc>
        <w:tc>
          <w:tcPr>
            <w:tcW w:w="1100" w:type="pct"/>
            <w:vAlign w:val="center"/>
          </w:tcPr>
          <w:p>
            <w:pPr>
              <w:pStyle w:val="26"/>
            </w:pPr>
            <w:r>
              <w:t>固废处置</w:t>
            </w:r>
          </w:p>
        </w:tc>
        <w:tc>
          <w:tcPr>
            <w:tcW w:w="3300" w:type="pct"/>
            <w:vAlign w:val="center"/>
          </w:tcPr>
          <w:p>
            <w:pPr>
              <w:pStyle w:val="26"/>
            </w:pPr>
            <w:r>
              <w:rPr>
                <w:rFonts w:hint="eastAsia"/>
              </w:rPr>
              <w:t>废包装材料：有能力公司处理，临时堆放于</w:t>
            </w:r>
            <w:r>
              <w:t>10m</w:t>
            </w:r>
            <w:r>
              <w:rPr>
                <w:vertAlign w:val="superscript"/>
              </w:rPr>
              <w:t>2</w:t>
            </w:r>
            <w:r>
              <w:t>一般固废暂存间</w:t>
            </w:r>
            <w:r>
              <w:rPr>
                <w:rFonts w:hint="eastAsia"/>
              </w:rPr>
              <w:t>，</w:t>
            </w:r>
            <w:r>
              <w:t>交由具备能力公司处理</w:t>
            </w:r>
          </w:p>
        </w:tc>
      </w:tr>
    </w:tbl>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）该项目须加强环保管理和“三废”防治设施维护，严格按照环评的要求做好各项污染防治措施，确保项目产生的废气、</w:t>
      </w:r>
      <w:r>
        <w:rPr>
          <w:rFonts w:hint="eastAsia" w:ascii="仿宋_GB2312" w:hAnsi="仿宋_GB2312" w:eastAsia="仿宋_GB2312" w:cs="仿宋_GB2312"/>
          <w:sz w:val="32"/>
          <w:szCs w:val="32"/>
          <w:lang w:val="en-US" w:eastAsia="zh-CN"/>
        </w:rPr>
        <w:t>废水、</w:t>
      </w:r>
      <w:r>
        <w:rPr>
          <w:rFonts w:hint="eastAsia" w:ascii="仿宋_GB2312" w:hAnsi="仿宋_GB2312" w:eastAsia="仿宋_GB2312" w:cs="仿宋_GB2312"/>
          <w:sz w:val="32"/>
          <w:szCs w:val="32"/>
        </w:rPr>
        <w:t>噪声得到有效治理和持续稳定达标排放。</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）该项目须加强危险废物的管理。1.严格按照《危险废物贮存污染控制标准》（</w:t>
      </w:r>
      <w:r>
        <w:rPr>
          <w:rFonts w:hint="default" w:ascii="Times New Roman" w:hAnsi="Times New Roman" w:eastAsia="仿宋_GB2312" w:cs="Times New Roman"/>
          <w:color w:val="000000"/>
          <w:kern w:val="2"/>
          <w:sz w:val="32"/>
          <w:szCs w:val="32"/>
          <w:lang w:val="en-US" w:eastAsia="zh-CN" w:bidi="ar-SA"/>
        </w:rPr>
        <w:t>GB18597-20</w:t>
      </w:r>
      <w:r>
        <w:rPr>
          <w:rFonts w:hint="eastAsia" w:ascii="Times New Roman" w:hAnsi="Times New Roman" w:eastAsia="仿宋_GB2312" w:cs="Times New Roman"/>
          <w:color w:val="000000"/>
          <w:kern w:val="2"/>
          <w:sz w:val="32"/>
          <w:szCs w:val="32"/>
          <w:lang w:val="en-US" w:eastAsia="zh-CN" w:bidi="ar-SA"/>
        </w:rPr>
        <w:t>23</w:t>
      </w:r>
      <w:r>
        <w:rPr>
          <w:rFonts w:hint="eastAsia" w:ascii="仿宋_GB2312" w:hAnsi="仿宋_GB2312" w:eastAsia="仿宋_GB2312" w:cs="仿宋_GB2312"/>
          <w:sz w:val="32"/>
          <w:szCs w:val="32"/>
        </w:rPr>
        <w:t>及其修改单）中的相关规定设计建设危险废物暂存间，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Times New Roman" w:hAnsi="Times New Roman" w:eastAsia="仿宋_GB2312" w:cs="Times New Roman"/>
          <w:sz w:val="32"/>
          <w:szCs w:val="32"/>
        </w:rPr>
        <w:t>该项目</w:t>
      </w:r>
      <w:r>
        <w:rPr>
          <w:rFonts w:hint="default" w:ascii="Times New Roman" w:hAnsi="Times New Roman" w:eastAsia="仿宋_GB2312" w:cs="Times New Roman"/>
          <w:sz w:val="32"/>
          <w:szCs w:val="32"/>
          <w:lang w:val="en-US" w:eastAsia="zh-CN"/>
        </w:rPr>
        <w:t>废水</w:t>
      </w:r>
      <w:r>
        <w:rPr>
          <w:rFonts w:hint="eastAsia" w:ascii="Times New Roman" w:hAnsi="Times New Roman" w:eastAsia="仿宋_GB2312" w:cs="Times New Roman"/>
          <w:sz w:val="32"/>
          <w:szCs w:val="32"/>
          <w:lang w:val="en-US" w:eastAsia="zh-CN"/>
        </w:rPr>
        <w:t>经污水</w:t>
      </w:r>
      <w:r>
        <w:rPr>
          <w:rFonts w:hint="eastAsia" w:ascii="仿宋_GB2312" w:hAnsi="仿宋_GB2312" w:eastAsia="仿宋_GB2312" w:cs="仿宋_GB2312"/>
          <w:sz w:val="32"/>
          <w:szCs w:val="32"/>
          <w:lang w:val="en-US" w:eastAsia="zh-CN"/>
        </w:rPr>
        <w:t>处理设施处理后，通过</w:t>
      </w:r>
      <w:r>
        <w:rPr>
          <w:rFonts w:hint="default" w:ascii="仿宋_GB2312" w:hAnsi="仿宋_GB2312" w:eastAsia="仿宋_GB2312" w:cs="仿宋_GB2312"/>
          <w:sz w:val="32"/>
          <w:szCs w:val="32"/>
          <w:lang w:val="en-US" w:eastAsia="zh-CN"/>
        </w:rPr>
        <w:t>市政管网排入</w:t>
      </w:r>
      <w:r>
        <w:rPr>
          <w:rFonts w:hint="eastAsia" w:ascii="仿宋_GB2312" w:hAnsi="仿宋_GB2312" w:eastAsia="仿宋_GB2312" w:cs="仿宋_GB2312"/>
          <w:sz w:val="32"/>
          <w:szCs w:val="32"/>
          <w:lang w:val="en-US" w:eastAsia="zh-CN"/>
        </w:rPr>
        <w:t>霞山水质净化厂</w:t>
      </w:r>
      <w:r>
        <w:rPr>
          <w:rFonts w:hint="default" w:ascii="仿宋_GB2312" w:hAnsi="仿宋_GB2312" w:eastAsia="仿宋_GB2312" w:cs="仿宋_GB2312"/>
          <w:sz w:val="32"/>
          <w:szCs w:val="32"/>
          <w:lang w:val="en-US" w:eastAsia="zh-CN"/>
        </w:rPr>
        <w:t>处理</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广东省《水污染物排放限值》（DB44/26-2001）第二时段三级标准和</w:t>
      </w:r>
      <w:r>
        <w:rPr>
          <w:rFonts w:hint="default" w:ascii="仿宋_GB2312" w:hAnsi="仿宋_GB2312" w:eastAsia="仿宋_GB2312" w:cs="仿宋_GB2312"/>
          <w:sz w:val="32"/>
          <w:szCs w:val="32"/>
          <w:lang w:val="en-US" w:eastAsia="zh-CN"/>
        </w:rPr>
        <w:t>霞山水质净化厂进水水质标准的较严值</w:t>
      </w:r>
      <w:r>
        <w:rPr>
          <w:rFonts w:hint="default" w:ascii="仿宋_GB2312" w:hAnsi="仿宋_GB2312" w:eastAsia="仿宋_GB2312" w:cs="仿宋_GB2312"/>
          <w:sz w:val="32"/>
          <w:szCs w:val="32"/>
        </w:rPr>
        <w:t>；污水处理站废气执行</w:t>
      </w:r>
      <w:r>
        <w:rPr>
          <w:rFonts w:hint="default" w:ascii="仿宋_GB2312" w:hAnsi="仿宋_GB2312" w:eastAsia="仿宋_GB2312" w:cs="仿宋_GB2312"/>
          <w:sz w:val="32"/>
          <w:szCs w:val="32"/>
          <w:lang w:val="en-US" w:eastAsia="zh-CN"/>
        </w:rPr>
        <w:t>《恶臭污染物排放标准》（GB14554-93）二级标准中新改扩建限值</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项目</w:t>
      </w:r>
      <w:r>
        <w:rPr>
          <w:rFonts w:hint="eastAsia" w:ascii="仿宋_GB2312" w:hAnsi="仿宋_GB2312" w:eastAsia="仿宋_GB2312" w:cs="仿宋_GB2312"/>
          <w:color w:val="auto"/>
          <w:kern w:val="2"/>
          <w:sz w:val="32"/>
          <w:szCs w:val="32"/>
          <w:lang w:val="en-US" w:eastAsia="zh-CN" w:bidi="ar-SA"/>
        </w:rPr>
        <w:t>场界执行《工业企业厂界环境噪声排放标准》</w:t>
      </w:r>
      <w:r>
        <w:rPr>
          <w:rFonts w:hint="eastAsia" w:ascii="Times New Roman" w:hAnsi="Times New Roman" w:eastAsia="仿宋_GB2312" w:cs="Times New Roman"/>
          <w:sz w:val="32"/>
          <w:szCs w:val="32"/>
          <w:lang w:val="en-US" w:eastAsia="zh-CN"/>
        </w:rPr>
        <w:t>（GB12348-2008）中</w:t>
      </w:r>
      <w:r>
        <w:rPr>
          <w:rFonts w:hint="eastAsia" w:ascii="仿宋_GB2312" w:hAnsi="仿宋_GB2312" w:eastAsia="仿宋_GB2312" w:cs="仿宋_GB2312"/>
          <w:color w:val="auto"/>
          <w:kern w:val="2"/>
          <w:sz w:val="32"/>
          <w:szCs w:val="32"/>
          <w:lang w:val="en-US" w:eastAsia="zh-CN" w:bidi="ar-SA"/>
        </w:rPr>
        <w:t>2类标准限值</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pStyle w:val="19"/>
        <w:keepNext w:val="0"/>
        <w:keepLines w:val="0"/>
        <w:pageBreakBefore w:val="0"/>
        <w:widowControl w:val="0"/>
        <w:kinsoku/>
        <w:wordWrap/>
        <w:overflowPunct/>
        <w:topLinePunct w:val="0"/>
        <w:bidi w:val="0"/>
        <w:spacing w:line="560" w:lineRule="exact"/>
        <w:rPr>
          <w:rFonts w:hint="eastAsia" w:ascii="仿宋_GB2312" w:hAnsi="仿宋_GB2312" w:eastAsia="仿宋_GB2312" w:cs="仿宋_GB2312"/>
          <w:sz w:val="32"/>
          <w:szCs w:val="32"/>
        </w:rPr>
      </w:pPr>
    </w:p>
    <w:p>
      <w:pPr>
        <w:pStyle w:val="22"/>
        <w:keepNext w:val="0"/>
        <w:keepLines w:val="0"/>
        <w:pageBreakBefore w:val="0"/>
        <w:widowControl w:val="0"/>
        <w:kinsoku/>
        <w:wordWrap/>
        <w:overflowPunct/>
        <w:topLinePunct w:val="0"/>
        <w:bidi w:val="0"/>
        <w:spacing w:line="560" w:lineRule="exact"/>
        <w:rPr>
          <w:rFonts w:hint="eastAsia"/>
        </w:rPr>
      </w:pPr>
    </w:p>
    <w:p>
      <w:pPr>
        <w:pStyle w:val="8"/>
        <w:keepNext w:val="0"/>
        <w:keepLines w:val="0"/>
        <w:pageBreakBefore w:val="0"/>
        <w:widowControl w:val="0"/>
        <w:kinsoku/>
        <w:wordWrap/>
        <w:overflowPunct/>
        <w:topLinePunct w:val="0"/>
        <w:bidi w:val="0"/>
        <w:spacing w:line="560" w:lineRule="exact"/>
        <w:rPr>
          <w:rFonts w:hint="eastAsia"/>
        </w:rPr>
      </w:pPr>
      <w:bookmarkStart w:id="0" w:name="_GoBack"/>
      <w:bookmarkEnd w:id="0"/>
    </w:p>
    <w:p>
      <w:pPr>
        <w:pStyle w:val="19"/>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firstLine="5760" w:firstLineChars="18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2023年10月30日</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小标宋">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1DF47"/>
    <w:multiLevelType w:val="singleLevel"/>
    <w:tmpl w:val="E4D1DF47"/>
    <w:lvl w:ilvl="0" w:tentative="0">
      <w:start w:val="1"/>
      <w:numFmt w:val="bullet"/>
      <w:pStyle w:val="9"/>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9505094"/>
    <w:rsid w:val="03214DFD"/>
    <w:rsid w:val="09505094"/>
    <w:rsid w:val="10E748D4"/>
    <w:rsid w:val="2C7C7714"/>
    <w:rsid w:val="4B054507"/>
    <w:rsid w:val="5B127989"/>
    <w:rsid w:val="664B1C51"/>
    <w:rsid w:val="670F2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ind w:firstLine="510"/>
      <w:jc w:val="center"/>
      <w:outlineLvl w:val="0"/>
    </w:pPr>
    <w:rPr>
      <w:sz w:val="28"/>
      <w:szCs w:val="20"/>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E-mail Signature"/>
    <w:basedOn w:val="1"/>
    <w:next w:val="5"/>
    <w:qFormat/>
    <w:uiPriority w:val="0"/>
    <w:pPr>
      <w:spacing w:line="460" w:lineRule="exact"/>
      <w:ind w:firstLine="200"/>
    </w:pPr>
    <w:rPr>
      <w:rFonts w:ascii="Times New Roman" w:hAnsi="Times New Roman" w:eastAsia="宋体" w:cs="Times New Roman"/>
    </w:rPr>
  </w:style>
  <w:style w:type="paragraph" w:customStyle="1" w:styleId="5">
    <w:name w:val="文章"/>
    <w:basedOn w:val="6"/>
    <w:next w:val="8"/>
    <w:qFormat/>
    <w:uiPriority w:val="0"/>
    <w:pPr>
      <w:widowControl/>
      <w:spacing w:line="240" w:lineRule="auto"/>
      <w:ind w:firstLine="480"/>
      <w:jc w:val="center"/>
    </w:pPr>
    <w:rPr>
      <w:rFonts w:ascii="Times New Roman" w:hAnsi="Times New Roman" w:eastAsia="宋体" w:cs="Times New Roman"/>
      <w:sz w:val="26"/>
    </w:rPr>
  </w:style>
  <w:style w:type="paragraph" w:styleId="6">
    <w:name w:val="Body Text Indent"/>
    <w:basedOn w:val="1"/>
    <w:next w:val="7"/>
    <w:qFormat/>
    <w:uiPriority w:val="0"/>
    <w:pPr>
      <w:ind w:left="720"/>
    </w:pPr>
    <w:rPr>
      <w:sz w:val="28"/>
    </w:rPr>
  </w:style>
  <w:style w:type="paragraph" w:customStyle="1" w:styleId="7">
    <w:name w:val="样式 标题 1一级标题 + 段前: 0.5 行 段后: 0.5 行"/>
    <w:basedOn w:val="3"/>
    <w:qFormat/>
    <w:uiPriority w:val="99"/>
    <w:pPr>
      <w:spacing w:line="320" w:lineRule="exact"/>
      <w:outlineLvl w:val="9"/>
    </w:pPr>
    <w:rPr>
      <w:spacing w:val="-6"/>
      <w:sz w:val="21"/>
      <w:szCs w:val="21"/>
    </w:rPr>
  </w:style>
  <w:style w:type="paragraph" w:styleId="8">
    <w:name w:val="List"/>
    <w:basedOn w:val="1"/>
    <w:next w:val="9"/>
    <w:qFormat/>
    <w:uiPriority w:val="0"/>
    <w:pPr>
      <w:adjustRightInd w:val="0"/>
      <w:spacing w:line="288" w:lineRule="auto"/>
      <w:ind w:left="200" w:hanging="200" w:hangingChars="200"/>
      <w:textAlignment w:val="baseline"/>
    </w:pPr>
    <w:rPr>
      <w:rFonts w:ascii="Calibri" w:hAnsi="Calibri"/>
      <w:kern w:val="0"/>
      <w:sz w:val="24"/>
    </w:rPr>
  </w:style>
  <w:style w:type="paragraph" w:styleId="9">
    <w:name w:val="List Bullet 2"/>
    <w:basedOn w:val="1"/>
    <w:next w:val="10"/>
    <w:qFormat/>
    <w:uiPriority w:val="0"/>
    <w:pPr>
      <w:numPr>
        <w:ilvl w:val="0"/>
        <w:numId w:val="1"/>
      </w:numPr>
    </w:pPr>
  </w:style>
  <w:style w:type="paragraph" w:customStyle="1" w:styleId="10">
    <w:name w:val="xl70"/>
    <w:basedOn w:val="1"/>
    <w:next w:val="11"/>
    <w:qFormat/>
    <w:uiPriority w:val="0"/>
    <w:pPr>
      <w:widowControl/>
      <w:spacing w:before="280" w:after="280" w:line="240" w:lineRule="auto"/>
      <w:ind w:firstLine="0"/>
    </w:pPr>
    <w:rPr>
      <w:rFonts w:ascii="宋体" w:hAnsi="Times New Roman" w:eastAsia="宋体" w:cs="Times New Roman"/>
    </w:rPr>
  </w:style>
  <w:style w:type="paragraph" w:customStyle="1" w:styleId="11">
    <w:name w:val="正文缩进1"/>
    <w:basedOn w:val="1"/>
    <w:next w:val="12"/>
    <w:qFormat/>
    <w:uiPriority w:val="0"/>
    <w:pPr>
      <w:ind w:firstLine="420" w:firstLineChars="200"/>
    </w:pPr>
    <w:rPr>
      <w:rFonts w:ascii="Times New Roman" w:hAnsi="Times New Roman" w:eastAsia="宋体" w:cs="Times New Roman"/>
      <w:sz w:val="24"/>
      <w:szCs w:val="24"/>
    </w:rPr>
  </w:style>
  <w:style w:type="paragraph" w:customStyle="1" w:styleId="12">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3">
    <w:name w:val="caption"/>
    <w:basedOn w:val="1"/>
    <w:next w:val="1"/>
    <w:qFormat/>
    <w:uiPriority w:val="0"/>
    <w:rPr>
      <w:rFonts w:ascii="Calibri Light" w:hAnsi="Calibri Light" w:eastAsia="黑体" w:cs="Times New Roman"/>
      <w:sz w:val="20"/>
    </w:rPr>
  </w:style>
  <w:style w:type="paragraph" w:styleId="14">
    <w:name w:val="Body Text"/>
    <w:basedOn w:val="1"/>
    <w:qFormat/>
    <w:uiPriority w:val="0"/>
    <w:pPr>
      <w:spacing w:line="0" w:lineRule="atLeast"/>
    </w:pPr>
    <w:rPr>
      <w:rFonts w:eastAsia="小标宋"/>
      <w:sz w:val="44"/>
    </w:rPr>
  </w:style>
  <w:style w:type="paragraph" w:styleId="15">
    <w:name w:val="toc 2"/>
    <w:basedOn w:val="1"/>
    <w:next w:val="4"/>
    <w:qFormat/>
    <w:uiPriority w:val="0"/>
    <w:pPr>
      <w:ind w:left="210"/>
      <w:jc w:val="left"/>
    </w:pPr>
    <w:rPr>
      <w:rFonts w:ascii="Calibri" w:hAnsi="Calibri" w:eastAsia="宋体" w:cs="Calibri"/>
      <w:smallCaps/>
      <w:sz w:val="20"/>
    </w:rPr>
  </w:style>
  <w:style w:type="character" w:styleId="18">
    <w:name w:val="annotation reference"/>
    <w:semiHidden/>
    <w:qFormat/>
    <w:uiPriority w:val="0"/>
    <w:rPr>
      <w:sz w:val="21"/>
    </w:rPr>
  </w:style>
  <w:style w:type="paragraph" w:customStyle="1" w:styleId="19">
    <w:name w:val="Default"/>
    <w:basedOn w:val="20"/>
    <w:next w:val="1"/>
    <w:qFormat/>
    <w:uiPriority w:val="0"/>
    <w:pPr>
      <w:autoSpaceDE w:val="0"/>
      <w:autoSpaceDN w:val="0"/>
    </w:pPr>
    <w:rPr>
      <w:rFonts w:hAnsi="Times New Roman" w:eastAsia="宋体" w:cs="宋体"/>
      <w:color w:val="000000"/>
      <w:sz w:val="24"/>
      <w:szCs w:val="24"/>
    </w:rPr>
  </w:style>
  <w:style w:type="paragraph" w:customStyle="1" w:styleId="20">
    <w:name w:val="纯文本1"/>
    <w:basedOn w:val="1"/>
    <w:next w:val="2"/>
    <w:qFormat/>
    <w:uiPriority w:val="0"/>
    <w:pPr>
      <w:adjustRightInd w:val="0"/>
    </w:pPr>
    <w:rPr>
      <w:rFonts w:ascii="宋体" w:hAnsi="Courier New"/>
      <w:szCs w:val="20"/>
    </w:rPr>
  </w:style>
  <w:style w:type="paragraph" w:customStyle="1" w:styleId="21">
    <w:name w:val="文本"/>
    <w:basedOn w:val="1"/>
    <w:next w:val="1"/>
    <w:qFormat/>
    <w:uiPriority w:val="0"/>
    <w:pPr>
      <w:autoSpaceDE w:val="0"/>
      <w:autoSpaceDN w:val="0"/>
      <w:ind w:firstLine="480"/>
    </w:pPr>
    <w:rPr>
      <w:lang w:val="zh-CN"/>
    </w:rPr>
  </w:style>
  <w:style w:type="paragraph" w:customStyle="1" w:styleId="22">
    <w:name w:val="样式35"/>
    <w:basedOn w:val="23"/>
    <w:next w:val="24"/>
    <w:qFormat/>
    <w:uiPriority w:val="0"/>
    <w:pPr>
      <w:spacing w:line="312" w:lineRule="auto"/>
      <w:ind w:firstLine="567"/>
    </w:pPr>
    <w:rPr>
      <w:rFonts w:ascii="宋体" w:hAnsi="Times New Roman" w:eastAsia="宋体" w:cs="Times New Roman"/>
      <w:sz w:val="28"/>
    </w:rPr>
  </w:style>
  <w:style w:type="paragraph" w:customStyle="1" w:styleId="23">
    <w:name w:val="表 内容"/>
    <w:basedOn w:val="1"/>
    <w:qFormat/>
    <w:uiPriority w:val="0"/>
    <w:pPr>
      <w:adjustRightInd w:val="0"/>
      <w:snapToGrid w:val="0"/>
      <w:spacing w:beforeLines="15" w:afterLines="15"/>
      <w:jc w:val="center"/>
    </w:pPr>
    <w:rPr>
      <w:sz w:val="21"/>
      <w:szCs w:val="21"/>
    </w:rPr>
  </w:style>
  <w:style w:type="paragraph" w:customStyle="1" w:styleId="24">
    <w:name w:val="font6"/>
    <w:basedOn w:val="1"/>
    <w:next w:val="15"/>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5">
    <w:name w:val="表格内文字"/>
    <w:qFormat/>
    <w:uiPriority w:val="0"/>
    <w:pPr>
      <w:tabs>
        <w:tab w:val="left" w:pos="90"/>
      </w:tabs>
      <w:jc w:val="center"/>
    </w:pPr>
    <w:rPr>
      <w:rFonts w:ascii="Times New Roman" w:hAnsi="Times New Roman" w:eastAsia="宋体" w:cs="宋体"/>
      <w:sz w:val="21"/>
      <w:szCs w:val="24"/>
      <w:lang w:val="en-US" w:eastAsia="zh-CN" w:bidi="ar-SA"/>
    </w:rPr>
  </w:style>
  <w:style w:type="paragraph" w:customStyle="1" w:styleId="26">
    <w:name w:val="表格字体杜"/>
    <w:basedOn w:val="1"/>
    <w:qFormat/>
    <w:uiPriority w:val="0"/>
    <w:pPr>
      <w:adjustRightInd w:val="0"/>
      <w:snapToGrid w:val="0"/>
      <w:jc w:val="center"/>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2703</Words>
  <Characters>2917</Characters>
  <Lines>0</Lines>
  <Paragraphs>0</Paragraphs>
  <TotalTime>200</TotalTime>
  <ScaleCrop>false</ScaleCrop>
  <LinksUpToDate>false</LinksUpToDate>
  <CharactersWithSpaces>2924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2022-10-18T07:35:00Z</dcterms:created>
  <dc:creator>孙不鸦</dc:creator>
  <cp:lastModifiedBy>锂锂鱼</cp:lastModifiedBy>
  <cp:lastPrinted>2023-10-30T09:36:39Z</cp:lastPrinted>
  <dcterms:modified xsi:type="dcterms:W3CDTF">2023-10-30T09:38:22Z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BB3408D250114C66822E8BEC96C76DF2</vt:lpwstr>
  </property>
</Properties>
</file>