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5120" w:firstLineChars="16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</w:t>
      </w:r>
      <w:r>
        <w:rPr>
          <w:rFonts w:hint="eastAsia" w:ascii="仿宋_GB2312" w:eastAsia="仿宋_GB2312"/>
          <w:sz w:val="32"/>
          <w:szCs w:val="32"/>
          <w:lang w:eastAsia="zh-CN"/>
        </w:rPr>
        <w:t>环建霞</w:t>
      </w:r>
      <w:r>
        <w:rPr>
          <w:rFonts w:hint="eastAsia" w:ascii="仿宋_GB2312" w:eastAsia="仿宋_GB2312"/>
          <w:sz w:val="32"/>
          <w:szCs w:val="32"/>
        </w:rPr>
        <w:t>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pStyle w:val="9"/>
        <w:wordWrap/>
        <w:rPr>
          <w:rFonts w:hint="eastAsia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小标宋" w:eastAsia="小标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关于广湛高铁湛江北站综合交通枢纽配套工程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变更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环境影响报告表的批复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湛江市高铁新城建设投资有限公司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你公司报批的《广湛高铁湛江北站综合交通枢纽配套工程变更环境影响报告表》（以下简称“报告表”）等材料收悉。经研究，批复如</w:t>
      </w:r>
      <w:r>
        <w:rPr>
          <w:rFonts w:hint="eastAsia" w:ascii="仿宋_GB2312" w:hAnsi="仿宋_GB2312" w:eastAsia="仿宋_GB2312" w:cs="仿宋_GB2312"/>
          <w:sz w:val="32"/>
          <w:szCs w:val="32"/>
        </w:rPr>
        <w:t>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广湛高铁湛江北站综合交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通枢纽配套工程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变更项目，根据调整修编稿可研，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站场范围内基础设施配套工程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主要配合站房设计面积由10万</w:t>
      </w:r>
      <w:r>
        <w:rPr>
          <w:rFonts w:hint="default" w:ascii="仿宋_GB2312" w:hAnsi="仿宋_GB2312" w:eastAsia="仿宋_GB2312" w:cs="仿宋_GB2312"/>
          <w:sz w:val="32"/>
          <w:szCs w:val="32"/>
        </w:rPr>
        <w:t>m</w:t>
      </w:r>
      <w:r>
        <w:rPr>
          <w:color w:val="auto"/>
          <w:sz w:val="32"/>
          <w:szCs w:val="32"/>
          <w:vertAlign w:val="superscript"/>
          <w:lang w:val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缩减至6万</w:t>
      </w:r>
      <w:r>
        <w:rPr>
          <w:rFonts w:hint="default" w:ascii="仿宋_GB2312" w:hAnsi="仿宋_GB2312" w:eastAsia="仿宋_GB2312" w:cs="仿宋_GB2312"/>
          <w:sz w:val="32"/>
          <w:szCs w:val="32"/>
        </w:rPr>
        <w:t>m</w:t>
      </w:r>
      <w:r>
        <w:rPr>
          <w:color w:val="auto"/>
          <w:sz w:val="32"/>
          <w:szCs w:val="32"/>
          <w:vertAlign w:val="superscript"/>
          <w:lang w:val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，其相应配套的设施规模进行一定调整。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站场范围内工程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变更后依然由广东省铁路建设投资集团有限公司负责建设，其建设内容已纳入《新建广州至湛江铁路环境影响报告书》做评价，本次变动属于站房规模缩小后现有站场范围内配套设施的调整，报告表内容主要针对变更后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站场周边道路建设工程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进行重新环境影响评价。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项目位于湛江市霞山区海头街道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和新兴街道，包括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新建市政道路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条，其中主干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道2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（紫荆大道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（湛清路—宜生东路）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和紫荆大道南延线（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宜生东路-森林大道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）），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次干路1条（湛阳路（湛江大道—椹川大道）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，道路长度总计6740.5m，配套桥梁、隧道工程，随道路建设地下综合管廊，设置给水管、中水管、电力缆线、通信缆线入廊。本次站场周边道路建设工程变更后总投资约17.59亿元，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其中环保投资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1659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项目具体建设组成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规模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及与原环评阶段变动情况具体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见表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表1 项目建设组成及规模一览表</w:t>
      </w:r>
    </w:p>
    <w:tbl>
      <w:tblPr>
        <w:tblStyle w:val="11"/>
        <w:tblpPr w:leftFromText="180" w:rightFromText="180" w:vertAnchor="text" w:horzAnchor="page" w:tblpXSpec="center" w:tblpY="372"/>
        <w:tblOverlap w:val="never"/>
        <w:tblW w:w="87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"/>
        <w:gridCol w:w="344"/>
        <w:gridCol w:w="919"/>
        <w:gridCol w:w="2687"/>
        <w:gridCol w:w="3369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16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项目组成</w:t>
            </w:r>
          </w:p>
        </w:tc>
        <w:tc>
          <w:tcPr>
            <w:tcW w:w="7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工程内容及规模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1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变动前</w:t>
            </w:r>
          </w:p>
        </w:tc>
        <w:tc>
          <w:tcPr>
            <w:tcW w:w="3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变动后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变动情况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主体工程</w:t>
            </w:r>
          </w:p>
        </w:tc>
        <w:tc>
          <w:tcPr>
            <w:tcW w:w="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周边道路建设工程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紫荆大道（湛清路</w:t>
            </w:r>
            <w:r>
              <w:rPr>
                <w:rFonts w:hint="default"/>
                <w:lang w:val="en-US" w:eastAsia="zh-CN"/>
              </w:rPr>
              <w:t>—</w:t>
            </w:r>
            <w:r>
              <w:rPr>
                <w:rFonts w:hint="eastAsia"/>
                <w:lang w:val="en-US" w:eastAsia="zh-CN"/>
              </w:rPr>
              <w:t>宜生东路）</w:t>
            </w: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主干路，双向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车道，设计车速</w:t>
            </w:r>
            <w:r>
              <w:rPr>
                <w:rFonts w:hint="default"/>
                <w:lang w:val="en-US" w:eastAsia="zh-CN"/>
              </w:rPr>
              <w:t>60km/h</w:t>
            </w:r>
            <w:r>
              <w:rPr>
                <w:rFonts w:hint="eastAsia"/>
                <w:lang w:val="en-US" w:eastAsia="zh-CN"/>
              </w:rPr>
              <w:t>，沥青混凝土路面，南北走向，北起规划湛清路，南至规划宜生东路，长度</w:t>
            </w:r>
            <w:r>
              <w:rPr>
                <w:rFonts w:hint="default"/>
                <w:lang w:val="en-US" w:eastAsia="zh-CN"/>
              </w:rPr>
              <w:t>1594m</w:t>
            </w:r>
            <w:r>
              <w:rPr>
                <w:rFonts w:hint="eastAsia"/>
                <w:lang w:val="en-US" w:eastAsia="zh-CN"/>
              </w:rPr>
              <w:t>，红线宽度</w:t>
            </w:r>
            <w:r>
              <w:rPr>
                <w:rFonts w:hint="default"/>
                <w:lang w:val="en-US" w:eastAsia="zh-CN"/>
              </w:rPr>
              <w:t>45m</w:t>
            </w:r>
            <w:r>
              <w:rPr>
                <w:rFonts w:hint="eastAsia"/>
                <w:lang w:val="en-US" w:eastAsia="zh-CN"/>
              </w:rPr>
              <w:t>，横断面布设：</w:t>
            </w:r>
            <w:r>
              <w:rPr>
                <w:rFonts w:hint="default"/>
                <w:lang w:val="en-US" w:eastAsia="zh-CN"/>
              </w:rPr>
              <w:t>3m(</w:t>
            </w:r>
            <w:r>
              <w:rPr>
                <w:rFonts w:hint="eastAsia"/>
                <w:lang w:val="en-US" w:eastAsia="zh-CN"/>
              </w:rPr>
              <w:t>人行道</w:t>
            </w:r>
            <w:r>
              <w:rPr>
                <w:rFonts w:hint="default"/>
                <w:lang w:val="en-US" w:eastAsia="zh-CN"/>
              </w:rPr>
              <w:t>)+4.5m(</w:t>
            </w:r>
            <w:r>
              <w:rPr>
                <w:rFonts w:hint="eastAsia"/>
                <w:lang w:val="en-US" w:eastAsia="zh-CN"/>
              </w:rPr>
              <w:t>自行车道</w:t>
            </w:r>
            <w:r>
              <w:rPr>
                <w:rFonts w:hint="default"/>
                <w:lang w:val="en-US" w:eastAsia="zh-CN"/>
              </w:rPr>
              <w:t>)+2.5m(</w:t>
            </w:r>
            <w:r>
              <w:rPr>
                <w:rFonts w:hint="eastAsia"/>
                <w:lang w:val="en-US" w:eastAsia="zh-CN"/>
              </w:rPr>
              <w:t>侧分带</w:t>
            </w:r>
            <w:r>
              <w:rPr>
                <w:rFonts w:hint="default"/>
                <w:lang w:val="en-US" w:eastAsia="zh-CN"/>
              </w:rPr>
              <w:t>)+11.5m(</w:t>
            </w:r>
            <w:r>
              <w:rPr>
                <w:rFonts w:hint="eastAsia"/>
                <w:lang w:val="en-US" w:eastAsia="zh-CN"/>
              </w:rPr>
              <w:t>行车道</w:t>
            </w:r>
            <w:r>
              <w:rPr>
                <w:rFonts w:hint="default"/>
                <w:lang w:val="en-US" w:eastAsia="zh-CN"/>
              </w:rPr>
              <w:t>)+2m(</w:t>
            </w:r>
            <w:r>
              <w:rPr>
                <w:rFonts w:hint="eastAsia"/>
                <w:lang w:val="en-US" w:eastAsia="zh-CN"/>
              </w:rPr>
              <w:t>中央分隔带</w:t>
            </w:r>
            <w:r>
              <w:rPr>
                <w:rFonts w:hint="default"/>
                <w:lang w:val="en-US" w:eastAsia="zh-CN"/>
              </w:rPr>
              <w:t>)+11.5m(</w:t>
            </w:r>
            <w:r>
              <w:rPr>
                <w:rFonts w:hint="eastAsia"/>
                <w:lang w:val="en-US" w:eastAsia="zh-CN"/>
              </w:rPr>
              <w:t>行车道</w:t>
            </w:r>
            <w:r>
              <w:rPr>
                <w:rFonts w:hint="default"/>
                <w:lang w:val="en-US" w:eastAsia="zh-CN"/>
              </w:rPr>
              <w:t>)+2.5m(</w:t>
            </w:r>
            <w:r>
              <w:rPr>
                <w:rFonts w:hint="eastAsia"/>
                <w:lang w:val="en-US" w:eastAsia="zh-CN"/>
              </w:rPr>
              <w:t>侧分带</w:t>
            </w:r>
            <w:r>
              <w:rPr>
                <w:rFonts w:hint="default"/>
                <w:lang w:val="en-US" w:eastAsia="zh-CN"/>
              </w:rPr>
              <w:t>)+4.5m(</w:t>
            </w:r>
            <w:r>
              <w:rPr>
                <w:rFonts w:hint="eastAsia"/>
                <w:lang w:val="en-US" w:eastAsia="zh-CN"/>
              </w:rPr>
              <w:t>自行车道</w:t>
            </w:r>
            <w:r>
              <w:rPr>
                <w:rFonts w:hint="default"/>
                <w:lang w:val="en-US" w:eastAsia="zh-CN"/>
              </w:rPr>
              <w:t>)+3m(</w:t>
            </w:r>
            <w:r>
              <w:rPr>
                <w:rFonts w:hint="eastAsia"/>
                <w:lang w:val="en-US" w:eastAsia="zh-CN"/>
              </w:rPr>
              <w:t>人行道</w:t>
            </w:r>
            <w:r>
              <w:rPr>
                <w:rFonts w:hint="default"/>
                <w:lang w:val="en-US" w:eastAsia="zh-CN"/>
              </w:rPr>
              <w:t>)</w:t>
            </w:r>
          </w:p>
        </w:tc>
        <w:tc>
          <w:tcPr>
            <w:tcW w:w="3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主干路，双向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车道，设计车速</w:t>
            </w:r>
            <w:r>
              <w:rPr>
                <w:rFonts w:hint="default"/>
                <w:lang w:val="en-US" w:eastAsia="zh-CN"/>
              </w:rPr>
              <w:t>60km/h</w:t>
            </w:r>
            <w:r>
              <w:rPr>
                <w:rFonts w:hint="eastAsia"/>
                <w:lang w:val="en-US" w:eastAsia="zh-CN"/>
              </w:rPr>
              <w:t>，沥青混凝土路面，南北走向，北起规划湛清路，南至规划宜生东路，长度1643</w:t>
            </w:r>
            <w:r>
              <w:rPr>
                <w:rFonts w:hint="default"/>
                <w:lang w:val="en-US" w:eastAsia="zh-CN"/>
              </w:rPr>
              <w:t>m</w:t>
            </w:r>
            <w:r>
              <w:rPr>
                <w:rFonts w:hint="eastAsia"/>
                <w:lang w:val="en-US" w:eastAsia="zh-CN"/>
              </w:rPr>
              <w:t>，红线宽度</w:t>
            </w:r>
            <w:r>
              <w:rPr>
                <w:rFonts w:hint="default"/>
                <w:lang w:val="en-US" w:eastAsia="zh-CN"/>
              </w:rPr>
              <w:t>45m</w:t>
            </w:r>
            <w:r>
              <w:rPr>
                <w:rFonts w:hint="eastAsia"/>
                <w:lang w:val="en-US" w:eastAsia="zh-CN"/>
              </w:rPr>
              <w:t>，横断面布设：3m（人行道）+3.5m（自行车道）+2.5m（侧分带）+11.5m（行车道）+4m（中央分隔带）+11.5m（行车道）+2.5m（侧分带）+3.5m（自行车道）+3m（人行道）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长度和平面布置调整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紫荆大道南延线（宜生东路-森林大道）</w:t>
            </w: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—</w:t>
            </w:r>
          </w:p>
        </w:tc>
        <w:tc>
          <w:tcPr>
            <w:tcW w:w="3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主干路，双向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车道，设计车速</w:t>
            </w:r>
            <w:r>
              <w:rPr>
                <w:rFonts w:hint="default"/>
                <w:lang w:val="en-US" w:eastAsia="zh-CN"/>
              </w:rPr>
              <w:t>60km/h</w:t>
            </w:r>
            <w:r>
              <w:rPr>
                <w:rFonts w:hint="eastAsia"/>
                <w:lang w:val="en-US" w:eastAsia="zh-CN"/>
              </w:rPr>
              <w:t>，沥青混凝土路面，南北走向，北起规划宜生东路，南至规划森林大道，长度1615</w:t>
            </w:r>
            <w:r>
              <w:rPr>
                <w:rFonts w:hint="default"/>
                <w:lang w:val="en-US" w:eastAsia="zh-CN"/>
              </w:rPr>
              <w:t>m</w:t>
            </w:r>
            <w:r>
              <w:rPr>
                <w:rFonts w:hint="eastAsia"/>
                <w:lang w:val="en-US" w:eastAsia="zh-CN"/>
              </w:rPr>
              <w:t>，红线宽度</w:t>
            </w:r>
            <w:r>
              <w:rPr>
                <w:rFonts w:hint="default"/>
                <w:lang w:val="en-US" w:eastAsia="zh-CN"/>
              </w:rPr>
              <w:t>45m</w:t>
            </w:r>
            <w:r>
              <w:rPr>
                <w:rFonts w:hint="eastAsia"/>
                <w:lang w:val="en-US" w:eastAsia="zh-CN"/>
              </w:rPr>
              <w:t>，横断面布设：3m（人行道）+3.5m（自行车道）+2.5m（侧分带）+11.5m（行车道）+4m（中央分隔带）+11.5m（行车道）+2.5m（侧分带）+3.5m（自行车道）+3m（人行道）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新建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湛阳路（湛江大道</w:t>
            </w:r>
            <w:r>
              <w:rPr>
                <w:rFonts w:hint="default"/>
                <w:lang w:val="en-US" w:eastAsia="zh-CN"/>
              </w:rPr>
              <w:t>—</w:t>
            </w:r>
            <w:r>
              <w:rPr>
                <w:rFonts w:hint="eastAsia"/>
                <w:lang w:val="en-US" w:eastAsia="zh-CN"/>
              </w:rPr>
              <w:t>椹川大道）</w:t>
            </w: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次干路，双向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车道，设计车</w:t>
            </w:r>
            <w:r>
              <w:rPr>
                <w:rFonts w:hint="default"/>
                <w:lang w:val="en-US" w:eastAsia="zh-CN"/>
              </w:rPr>
              <w:t>40km/h</w:t>
            </w:r>
            <w:r>
              <w:rPr>
                <w:rFonts w:hint="eastAsia"/>
                <w:lang w:val="en-US" w:eastAsia="zh-CN"/>
              </w:rPr>
              <w:t>，沥青混凝土路面，东西走向，西起在建的湛江大道，东至椹川大道，长度</w:t>
            </w:r>
            <w:r>
              <w:rPr>
                <w:rFonts w:hint="default"/>
                <w:lang w:val="en-US" w:eastAsia="zh-CN"/>
              </w:rPr>
              <w:t>3281.5m</w:t>
            </w:r>
            <w:r>
              <w:rPr>
                <w:rFonts w:hint="eastAsia"/>
                <w:lang w:val="en-US" w:eastAsia="zh-CN"/>
              </w:rPr>
              <w:t>，红线宽度</w:t>
            </w:r>
            <w:r>
              <w:rPr>
                <w:rFonts w:hint="default"/>
                <w:lang w:val="en-US" w:eastAsia="zh-CN"/>
              </w:rPr>
              <w:t>40m</w:t>
            </w:r>
            <w:r>
              <w:rPr>
                <w:rFonts w:hint="eastAsia"/>
                <w:lang w:val="en-US" w:eastAsia="zh-CN"/>
              </w:rPr>
              <w:t>，横断面布设：</w:t>
            </w:r>
            <w:r>
              <w:rPr>
                <w:rFonts w:hint="default"/>
                <w:lang w:val="en-US" w:eastAsia="zh-CN"/>
              </w:rPr>
              <w:t>3m(</w:t>
            </w:r>
            <w:r>
              <w:rPr>
                <w:rFonts w:hint="eastAsia"/>
                <w:lang w:val="en-US" w:eastAsia="zh-CN"/>
              </w:rPr>
              <w:t>人行道</w:t>
            </w:r>
            <w:r>
              <w:rPr>
                <w:rFonts w:hint="default"/>
                <w:lang w:val="en-US" w:eastAsia="zh-CN"/>
              </w:rPr>
              <w:t>)+3.5m(</w:t>
            </w:r>
            <w:r>
              <w:rPr>
                <w:rFonts w:hint="eastAsia"/>
                <w:lang w:val="en-US" w:eastAsia="zh-CN"/>
              </w:rPr>
              <w:t>自行车道</w:t>
            </w:r>
            <w:r>
              <w:rPr>
                <w:rFonts w:hint="default"/>
                <w:lang w:val="en-US" w:eastAsia="zh-CN"/>
              </w:rPr>
              <w:t>)+2m(</w:t>
            </w:r>
            <w:r>
              <w:rPr>
                <w:rFonts w:hint="eastAsia"/>
                <w:lang w:val="en-US" w:eastAsia="zh-CN"/>
              </w:rPr>
              <w:t>侧分带</w:t>
            </w:r>
            <w:r>
              <w:rPr>
                <w:rFonts w:hint="default"/>
                <w:lang w:val="en-US" w:eastAsia="zh-CN"/>
              </w:rPr>
              <w:t>)+10.5m(</w:t>
            </w:r>
            <w:r>
              <w:rPr>
                <w:rFonts w:hint="eastAsia"/>
                <w:lang w:val="en-US" w:eastAsia="zh-CN"/>
              </w:rPr>
              <w:t>行车道</w:t>
            </w:r>
            <w:r>
              <w:rPr>
                <w:rFonts w:hint="default"/>
                <w:lang w:val="en-US" w:eastAsia="zh-CN"/>
              </w:rPr>
              <w:t>)+2m(</w:t>
            </w:r>
            <w:r>
              <w:rPr>
                <w:rFonts w:hint="eastAsia"/>
                <w:lang w:val="en-US" w:eastAsia="zh-CN"/>
              </w:rPr>
              <w:t>中央分隔带</w:t>
            </w:r>
            <w:r>
              <w:rPr>
                <w:rFonts w:hint="default"/>
                <w:lang w:val="en-US" w:eastAsia="zh-CN"/>
              </w:rPr>
              <w:t>)+10.5m(</w:t>
            </w:r>
            <w:r>
              <w:rPr>
                <w:rFonts w:hint="eastAsia"/>
                <w:lang w:val="en-US" w:eastAsia="zh-CN"/>
              </w:rPr>
              <w:t>行车道</w:t>
            </w:r>
            <w:r>
              <w:rPr>
                <w:rFonts w:hint="default"/>
                <w:lang w:val="en-US" w:eastAsia="zh-CN"/>
              </w:rPr>
              <w:t>)+2m(</w:t>
            </w:r>
            <w:r>
              <w:rPr>
                <w:rFonts w:hint="eastAsia"/>
                <w:lang w:val="en-US" w:eastAsia="zh-CN"/>
              </w:rPr>
              <w:t>侧分带</w:t>
            </w:r>
            <w:r>
              <w:rPr>
                <w:rFonts w:hint="default"/>
                <w:lang w:val="en-US" w:eastAsia="zh-CN"/>
              </w:rPr>
              <w:t>)+3.5m(</w:t>
            </w:r>
            <w:r>
              <w:rPr>
                <w:rFonts w:hint="eastAsia"/>
                <w:lang w:val="en-US" w:eastAsia="zh-CN"/>
              </w:rPr>
              <w:t>自行车道</w:t>
            </w:r>
            <w:r>
              <w:rPr>
                <w:rFonts w:hint="default"/>
                <w:lang w:val="en-US" w:eastAsia="zh-CN"/>
              </w:rPr>
              <w:t>)+3m(</w:t>
            </w:r>
            <w:r>
              <w:rPr>
                <w:rFonts w:hint="eastAsia"/>
                <w:lang w:val="en-US" w:eastAsia="zh-CN"/>
              </w:rPr>
              <w:t>人行道</w:t>
            </w:r>
            <w:r>
              <w:rPr>
                <w:rFonts w:hint="default"/>
                <w:lang w:val="en-US" w:eastAsia="zh-CN"/>
              </w:rPr>
              <w:t>)</w:t>
            </w:r>
          </w:p>
        </w:tc>
        <w:tc>
          <w:tcPr>
            <w:tcW w:w="3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次干路，双向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车道，设计车速</w:t>
            </w:r>
            <w:r>
              <w:rPr>
                <w:rFonts w:hint="default"/>
                <w:lang w:val="en-US" w:eastAsia="zh-CN"/>
              </w:rPr>
              <w:t>40km/h</w:t>
            </w:r>
            <w:r>
              <w:rPr>
                <w:rFonts w:hint="eastAsia"/>
                <w:lang w:val="en-US" w:eastAsia="zh-CN"/>
              </w:rPr>
              <w:t>，沥青混凝土路面，东西走向，西起在建的湛江大道，东至椹川大道，长度</w:t>
            </w:r>
            <w:r>
              <w:rPr>
                <w:rFonts w:hint="default"/>
                <w:lang w:val="en-US" w:eastAsia="zh-CN"/>
              </w:rPr>
              <w:t>3482.5m</w:t>
            </w:r>
            <w:r>
              <w:rPr>
                <w:rFonts w:hint="eastAsia"/>
                <w:lang w:val="en-US" w:eastAsia="zh-CN"/>
              </w:rPr>
              <w:t>，红线宽度</w:t>
            </w:r>
            <w:r>
              <w:rPr>
                <w:rFonts w:hint="default"/>
                <w:lang w:val="en-US" w:eastAsia="zh-CN"/>
              </w:rPr>
              <w:t>40m</w:t>
            </w:r>
            <w:r>
              <w:rPr>
                <w:rFonts w:hint="eastAsia"/>
                <w:lang w:val="en-US" w:eastAsia="zh-CN"/>
              </w:rPr>
              <w:t>，横断面布设：3m（人行道）+3.5m（自行车道）+2m（侧分带）+10.25m（行车道）+2.5m（中央分隔带）+10.25m（行车道）+2m（侧分带）+3.5m（自行车道）+3m（人行道）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长度和平面布置调整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桥梁工程（湛阳路西延线）</w:t>
            </w: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共设置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座桥梁，湛阳路与湛江大道交叉口位置设置</w:t>
            </w:r>
            <w:r>
              <w:rPr>
                <w:rFonts w:hint="default"/>
                <w:lang w:val="en-US" w:eastAsia="zh-CN"/>
              </w:rPr>
              <w:t>290m</w:t>
            </w:r>
            <w:r>
              <w:rPr>
                <w:rFonts w:hint="eastAsia"/>
                <w:lang w:val="en-US" w:eastAsia="zh-CN"/>
              </w:rPr>
              <w:t>跨线桥上跨湛江大道，采用现浇预应力箱梁结构，桥跨布置：</w:t>
            </w:r>
            <w:r>
              <w:rPr>
                <w:rFonts w:hint="default"/>
                <w:lang w:val="en-US" w:eastAsia="zh-CN"/>
              </w:rPr>
              <w:t>3×25m(</w:t>
            </w:r>
            <w:r>
              <w:rPr>
                <w:rFonts w:hint="eastAsia"/>
                <w:lang w:val="en-US" w:eastAsia="zh-CN"/>
              </w:rPr>
              <w:t>预应力砼连续梁</w:t>
            </w:r>
            <w:r>
              <w:rPr>
                <w:rFonts w:hint="default"/>
                <w:lang w:val="en-US" w:eastAsia="zh-CN"/>
              </w:rPr>
              <w:t>)+(30+40+40+30)m(</w:t>
            </w:r>
            <w:r>
              <w:rPr>
                <w:rFonts w:hint="eastAsia"/>
                <w:lang w:val="en-US" w:eastAsia="zh-CN"/>
              </w:rPr>
              <w:t>预应力砼连续梁</w:t>
            </w:r>
            <w:r>
              <w:rPr>
                <w:rFonts w:hint="default"/>
                <w:lang w:val="en-US" w:eastAsia="zh-CN"/>
              </w:rPr>
              <w:t>)+3×25m(</w:t>
            </w:r>
            <w:r>
              <w:rPr>
                <w:rFonts w:hint="eastAsia"/>
                <w:lang w:val="en-US" w:eastAsia="zh-CN"/>
              </w:rPr>
              <w:t>预应力砼连续梁</w:t>
            </w:r>
            <w:r>
              <w:rPr>
                <w:rFonts w:hint="default"/>
                <w:lang w:val="en-US" w:eastAsia="zh-CN"/>
              </w:rPr>
              <w:t>)</w:t>
            </w:r>
          </w:p>
        </w:tc>
        <w:tc>
          <w:tcPr>
            <w:tcW w:w="3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湛阳路跨线桥（菱形立交）段新建长度约330m，顺接湛阳路市政道路建设设计终点，设置渐变段压缩行车道宽度，新建120m渐变段，最终再通过新建9m宽的连接段（长度为160m）汇入县道X669。采用现浇预应力箱梁结构，桥跨布置：</w:t>
            </w:r>
            <w:r>
              <w:rPr>
                <w:rFonts w:hint="default"/>
                <w:lang w:val="en-US" w:eastAsia="zh-CN"/>
              </w:rPr>
              <w:t>3×25m(</w:t>
            </w:r>
            <w:r>
              <w:rPr>
                <w:rFonts w:hint="eastAsia"/>
                <w:lang w:val="en-US" w:eastAsia="zh-CN"/>
              </w:rPr>
              <w:t>预应力砼连续梁</w:t>
            </w:r>
            <w:r>
              <w:rPr>
                <w:rFonts w:hint="default"/>
                <w:lang w:val="en-US" w:eastAsia="zh-CN"/>
              </w:rPr>
              <w:t>)+(30+40+40+30)m(</w:t>
            </w:r>
            <w:r>
              <w:rPr>
                <w:rFonts w:hint="eastAsia"/>
                <w:lang w:val="en-US" w:eastAsia="zh-CN"/>
              </w:rPr>
              <w:t>预应力砼连续梁</w:t>
            </w:r>
            <w:r>
              <w:rPr>
                <w:rFonts w:hint="default"/>
                <w:lang w:val="en-US" w:eastAsia="zh-CN"/>
              </w:rPr>
              <w:t>)+3×25m(</w:t>
            </w:r>
            <w:r>
              <w:rPr>
                <w:rFonts w:hint="eastAsia"/>
                <w:lang w:val="en-US" w:eastAsia="zh-CN"/>
              </w:rPr>
              <w:t>预应力砼连续梁</w:t>
            </w:r>
            <w:r>
              <w:rPr>
                <w:rFonts w:hint="default"/>
                <w:lang w:val="en-US" w:eastAsia="zh-CN"/>
              </w:rPr>
              <w:t>)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长度和接入起始点调整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隧道工程</w:t>
            </w:r>
          </w:p>
        </w:tc>
        <w:tc>
          <w:tcPr>
            <w:tcW w:w="2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设置隧道</w:t>
            </w:r>
            <w:r>
              <w:rPr>
                <w:rFonts w:hint="default"/>
                <w:lang w:val="en-US" w:eastAsia="zh-CN"/>
              </w:rPr>
              <w:t>(</w:t>
            </w:r>
            <w:r>
              <w:rPr>
                <w:rFonts w:hint="eastAsia"/>
                <w:lang w:val="en-US" w:eastAsia="zh-CN"/>
              </w:rPr>
              <w:t>地道桥</w:t>
            </w:r>
            <w:r>
              <w:rPr>
                <w:rFonts w:hint="default"/>
                <w:lang w:val="en-US" w:eastAsia="zh-CN"/>
              </w:rPr>
              <w:t>)</w:t>
            </w:r>
            <w:r>
              <w:rPr>
                <w:rFonts w:hint="eastAsia"/>
                <w:lang w:val="en-US" w:eastAsia="zh-CN"/>
              </w:rPr>
              <w:t>，湛阳路下穿黎湛铁路，隧道长</w:t>
            </w:r>
            <w:r>
              <w:rPr>
                <w:rFonts w:hint="default"/>
                <w:lang w:val="en-US" w:eastAsia="zh-CN"/>
              </w:rPr>
              <w:t>30m</w:t>
            </w:r>
          </w:p>
        </w:tc>
        <w:tc>
          <w:tcPr>
            <w:tcW w:w="3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设置隧道</w:t>
            </w:r>
            <w:r>
              <w:rPr>
                <w:rFonts w:hint="default"/>
                <w:lang w:val="en-US" w:eastAsia="zh-CN"/>
              </w:rPr>
              <w:t>(</w:t>
            </w:r>
            <w:r>
              <w:rPr>
                <w:rFonts w:hint="eastAsia"/>
                <w:lang w:val="en-US" w:eastAsia="zh-CN"/>
              </w:rPr>
              <w:t>地道桥</w:t>
            </w:r>
            <w:r>
              <w:rPr>
                <w:rFonts w:hint="default"/>
                <w:lang w:val="en-US" w:eastAsia="zh-CN"/>
              </w:rPr>
              <w:t>)</w:t>
            </w:r>
            <w:r>
              <w:rPr>
                <w:rFonts w:hint="eastAsia"/>
                <w:lang w:val="en-US" w:eastAsia="zh-CN"/>
              </w:rPr>
              <w:t>，湛阳路下穿黎湛铁路，隧道长391.7m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长度调整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辅助工程</w:t>
            </w:r>
          </w:p>
        </w:tc>
        <w:tc>
          <w:tcPr>
            <w:tcW w:w="126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地下综合管廊工程</w:t>
            </w:r>
          </w:p>
        </w:tc>
        <w:tc>
          <w:tcPr>
            <w:tcW w:w="605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lang w:val="en-US" w:eastAsia="zh-CN"/>
              </w:rPr>
              <w:t>布设于道路右侧机动车道及人行道之下。设置给水管</w:t>
            </w:r>
            <w:r>
              <w:rPr>
                <w:rFonts w:hint="default"/>
                <w:lang w:val="en-US" w:eastAsia="zh-CN"/>
              </w:rPr>
              <w:t>(DN600)</w:t>
            </w:r>
            <w:r>
              <w:rPr>
                <w:rFonts w:hint="eastAsia"/>
                <w:lang w:val="en-US" w:eastAsia="zh-CN"/>
              </w:rPr>
              <w:t>、中水管</w:t>
            </w:r>
            <w:r>
              <w:rPr>
                <w:rFonts w:hint="default"/>
                <w:lang w:val="en-US" w:eastAsia="zh-CN"/>
              </w:rPr>
              <w:t>DN200)/(DN400)</w:t>
            </w:r>
            <w:r>
              <w:rPr>
                <w:rFonts w:hint="eastAsia"/>
                <w:lang w:val="en-US" w:eastAsia="zh-CN"/>
              </w:rPr>
              <w:t>、电力缆线</w:t>
            </w:r>
            <w:r>
              <w:rPr>
                <w:rFonts w:hint="default"/>
                <w:lang w:val="en-US" w:eastAsia="zh-CN"/>
              </w:rPr>
              <w:t>(10kV)</w:t>
            </w:r>
            <w:r>
              <w:rPr>
                <w:rFonts w:hint="eastAsia"/>
                <w:lang w:val="en-US" w:eastAsia="zh-CN"/>
              </w:rPr>
              <w:t>、通信缆线入廊。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不变，总体规模随道路规模调整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交通工程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lang w:val="en-US" w:eastAsia="zh-CN"/>
              </w:rPr>
              <w:t>按国家交通相关规范要求，在道路两侧安设交通标志、标线及交通信号设施等。</w:t>
            </w:r>
          </w:p>
        </w:tc>
        <w:tc>
          <w:tcPr>
            <w:tcW w:w="10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公用工程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给排水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lang w:val="en-US" w:eastAsia="zh-CN"/>
              </w:rPr>
              <w:t>施工临时用水由市政供给；施工队伍就近租住民房，项目主要施工场地均设置截水沟、隔油沉淀池，将施工废水回用于场地洒水抑尘等施工用水，不外排。项目建成后配套雨污管网、中水管道。</w:t>
            </w:r>
          </w:p>
        </w:tc>
        <w:tc>
          <w:tcPr>
            <w:tcW w:w="10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供电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lang w:val="en-US" w:eastAsia="zh-CN"/>
              </w:rPr>
              <w:t>施工区沿线有国家电网覆盖，工程施工用电由市政供给。</w:t>
            </w:r>
          </w:p>
        </w:tc>
        <w:tc>
          <w:tcPr>
            <w:tcW w:w="10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环保工程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废水治理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施工队伍就近租住民房，施工场地、堆土场四周设置截水沟、将施工场地、机械冲洗废水收集处理至隔油沉淀池处理后，回用于日常洒水降尘，不外排。营运期，加强路面维护清洁，建设雨污管网。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不变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废气治理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施工期合理安排车辆运输路线，定期洒水降尘，临时堆土采取加盖保护网或遮挡，加强运输车辆管理，车辆禁止装载过满并采取密闭或遮盖措施；营运期完善道路绿化、美化工作，制定路面清扫制度，确保路面清洁，加强道路维护，破损路面应及时修复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噪声治理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施工期选用性能优、噪声低的施工设备；合理安排施工时间，优化布局施工现场，对高噪声高振动设备采取有效的降噪减振措施，在距离较近的敏感点处设置移动声障；与周边居民做好沟通与交流，以取得居民的谅解；营运期道路采用沥青混凝土路面，两侧绿化维护、设置限速标志，加强交通管理和路面维护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固体废物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项目施工过程土石方合理调配，工程挖方优先用于项目及周边工程的填方使用，多余弃方、拆迁过程的建筑垃圾交由当地建筑垃圾管理部门指定地点处置；施工人员生活垃圾及时清运，交由环卫部门处理。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生态保护措施</w:t>
            </w:r>
          </w:p>
        </w:tc>
        <w:tc>
          <w:tcPr>
            <w:tcW w:w="6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强施工组织管理，严格控制施工范围，减少临时占地面积，禁止随意破坏施工作业场地、作业区以外的农作物、林木；施工过程严格实施分层开挖和分层堆放，将表土和熟土分开，施工临时占地使用结束后及时进行地貌及地表植被的恢复工作；合理安排施工进度及施工时间，在条件允许的情况下，施工期尽量避开强风季节、雨季及汛期，减少水土流失造成的生态破坏影响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不变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报告表的评价结论，在全面落实报告表中提出的各项污染防治和风险防范措施，并确保污染物排放稳定达标且符合总量要求的前提下，项目按照报告表中所列性质、规模、地点和拟采取的环境保护措施进行建设，从环境保护角度可行。我局原则通过对报告表的审查，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应按照报告表内容组织实施。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严格执行“三同时”制度，并落实各项污染防治措施，污染防治设施要同时设计、同时施工、同时投入运行。项目竣工后，你公司须按规定的标准和程序，对配套建设的环境保护设施进行验收，验收合格后方可投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该项目运营过程中沿线噪声执行标准见表2</w:t>
      </w:r>
      <w:r>
        <w:rPr>
          <w:rFonts w:hint="default" w:ascii="仿宋_GB2312" w:hAnsi="仿宋_GB2312" w:eastAsia="仿宋_GB2312" w:cs="仿宋_GB2312"/>
          <w:sz w:val="32"/>
          <w:szCs w:val="32"/>
          <w:lang w:val="en-GB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auto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kern w:val="0"/>
          <w:sz w:val="24"/>
          <w:szCs w:val="24"/>
          <w:lang w:val="en-US" w:eastAsia="zh-CN"/>
        </w:rPr>
        <w:t>表</w:t>
      </w:r>
      <w:r>
        <w:rPr>
          <w:rFonts w:hint="eastAsia" w:ascii="Times New Roman" w:hAnsi="Times New Roman" w:cs="Times New Roman"/>
          <w:b/>
          <w:bCs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color w:val="auto"/>
          <w:kern w:val="0"/>
          <w:sz w:val="24"/>
          <w:szCs w:val="24"/>
          <w:lang w:val="en-US" w:eastAsia="zh-CN"/>
        </w:rPr>
        <w:t xml:space="preserve"> 项目沿线噪声执行标准</w:t>
      </w:r>
    </w:p>
    <w:tbl>
      <w:tblPr>
        <w:tblStyle w:val="11"/>
        <w:tblW w:w="87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3"/>
        <w:gridCol w:w="1142"/>
        <w:gridCol w:w="993"/>
        <w:gridCol w:w="830"/>
        <w:gridCol w:w="796"/>
        <w:gridCol w:w="36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与道路边界线的距离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声功能区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质量标准（dB）</w:t>
            </w:r>
          </w:p>
        </w:tc>
        <w:tc>
          <w:tcPr>
            <w:tcW w:w="3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适用路段/范围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昼间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夜间</w:t>
            </w:r>
          </w:p>
        </w:tc>
        <w:tc>
          <w:tcPr>
            <w:tcW w:w="3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紫荆大道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（含南延线）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35m以内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4a类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当临街建筑低于三层楼房为主时，道路边界线35m以内的区域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当临街建筑高于三层楼房以上（含三层）时，临街建筑面向道路一侧至道路边界线的区域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当临街建筑高于三层楼房以上（含三层）时，第一排建筑背向道路一侧及第二排起区域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35m以外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道路边界线35m外的区域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4b类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60/55*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铁路干线用地范围外40m内的区域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湛阳路含西延线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X698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至黎湛铁路段）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35m以内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4a类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当临街建筑低于三层楼房为主时，道路边界线35m以内的区域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当临街建筑高于三层楼房以上（含三层）时，临街建筑面向道路一侧至道路边界线的区域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当临街建筑高于三层楼房以上（含三层）时，第一排建筑背向道路一侧及第二排起区域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35m以外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道路边界线35m外的区域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4b类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60/55*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铁路干线用地范围外40m内的区域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4a类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当临街建筑低于三层楼房为主时，湛江大道边界线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40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m以内的区域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当临街建筑高于三层楼房以上（含三层）时，临街建筑面向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湛江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大道一侧至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湛江大道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边界线的区域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湛阳路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（黎湛铁路至屋山工业小区段）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35m以内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4a类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当临街建筑低于三层楼房为主时，道路边界线35m以内的区域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当临街建筑高于三层楼房以上（含三层）时，临街建筑面向道路一侧至道路边界线的区域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当临街建筑高于三层楼房以上（含三层）时，第一排建筑背向道路一侧及第二排起区域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35m以外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道路边界线35m外的区域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4b类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60/55*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铁路干线用地范围外40m内的区域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湛阳路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（屋山工业小区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至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椹川大道）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20m以内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4a类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当临街建筑低于三层楼房为主时，道路边界线20m以内的区域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当临街建筑高于三层楼房以上（含三层）时，临街建筑面向道路一侧至道路边界线的区域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当临街建筑高于三层楼房以上（含三层）时，第一排建筑背向道路一侧及第二排起区域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20m以外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道路边界线20m外的区域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4a类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当临街建筑低于三层楼房为主时，椹川大道边界线20m以内以内的区域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当临街建筑高于三层楼房以上（含三层）时，临街建筑面向椹川大道一侧至椹川大道边界线的区域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0"/>
          <w:szCs w:val="21"/>
          <w:lang w:val="en-US" w:eastAsia="zh-CN"/>
        </w:rPr>
        <w:t>备注：*“60/55”表示“有列车经过/无列车经过时候的标准限值”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四、若项目的性质、规模、地点、生产工艺或者防治污染的措施发生重大变动，应重新报批项目的环境影响评价文件。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2023年9月22日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51CB5CDC"/>
    <w:rsid w:val="14CD3C99"/>
    <w:rsid w:val="51CB5CDC"/>
    <w:rsid w:val="776B06BA"/>
    <w:rsid w:val="7D30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ind w:firstLine="510"/>
      <w:jc w:val="center"/>
      <w:outlineLvl w:val="0"/>
    </w:pPr>
    <w:rPr>
      <w:sz w:val="28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  <w:spacing w:after="160" w:line="259" w:lineRule="auto"/>
      <w:jc w:val="left"/>
    </w:pPr>
    <w:rPr>
      <w:rFonts w:ascii="宋体" w:hAnsi="Courier New"/>
      <w:sz w:val="20"/>
      <w:szCs w:val="20"/>
    </w:rPr>
  </w:style>
  <w:style w:type="paragraph" w:styleId="4">
    <w:name w:val="E-mail Signature"/>
    <w:basedOn w:val="1"/>
    <w:next w:val="5"/>
    <w:qFormat/>
    <w:uiPriority w:val="0"/>
    <w:pPr>
      <w:spacing w:line="460" w:lineRule="exact"/>
      <w:ind w:firstLine="200"/>
    </w:pPr>
    <w:rPr>
      <w:rFonts w:ascii="Times New Roman" w:hAnsi="Times New Roman" w:eastAsia="宋体" w:cs="Times New Roman"/>
    </w:rPr>
  </w:style>
  <w:style w:type="paragraph" w:customStyle="1" w:styleId="5">
    <w:name w:val="文章"/>
    <w:basedOn w:val="6"/>
    <w:next w:val="8"/>
    <w:qFormat/>
    <w:uiPriority w:val="0"/>
    <w:pPr>
      <w:widowControl/>
      <w:spacing w:line="240" w:lineRule="auto"/>
      <w:ind w:firstLine="480"/>
      <w:jc w:val="center"/>
    </w:pPr>
    <w:rPr>
      <w:rFonts w:ascii="Times New Roman" w:hAnsi="Times New Roman" w:eastAsia="宋体" w:cs="Times New Roman"/>
      <w:sz w:val="26"/>
    </w:rPr>
  </w:style>
  <w:style w:type="paragraph" w:styleId="6">
    <w:name w:val="Body Text Indent"/>
    <w:basedOn w:val="1"/>
    <w:next w:val="7"/>
    <w:qFormat/>
    <w:uiPriority w:val="0"/>
    <w:pPr>
      <w:ind w:left="720"/>
    </w:pPr>
    <w:rPr>
      <w:sz w:val="28"/>
    </w:rPr>
  </w:style>
  <w:style w:type="paragraph" w:customStyle="1" w:styleId="7">
    <w:name w:val="样式 标题 1一级标题 + 段前: 0.5 行 段后: 0.5 行"/>
    <w:basedOn w:val="3"/>
    <w:qFormat/>
    <w:uiPriority w:val="99"/>
    <w:pPr>
      <w:spacing w:line="320" w:lineRule="exact"/>
      <w:outlineLvl w:val="9"/>
    </w:pPr>
    <w:rPr>
      <w:spacing w:val="-6"/>
      <w:sz w:val="21"/>
      <w:szCs w:val="21"/>
    </w:rPr>
  </w:style>
  <w:style w:type="paragraph" w:styleId="8">
    <w:name w:val="List"/>
    <w:basedOn w:val="1"/>
    <w:next w:val="1"/>
    <w:qFormat/>
    <w:uiPriority w:val="0"/>
    <w:pPr>
      <w:adjustRightInd w:val="0"/>
      <w:spacing w:line="288" w:lineRule="auto"/>
      <w:ind w:left="200" w:hanging="200" w:hangingChars="200"/>
      <w:textAlignment w:val="baseline"/>
    </w:pPr>
    <w:rPr>
      <w:rFonts w:ascii="Calibri" w:hAnsi="Calibri"/>
      <w:kern w:val="0"/>
      <w:sz w:val="24"/>
    </w:rPr>
  </w:style>
  <w:style w:type="paragraph" w:styleId="9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10">
    <w:name w:val="toc 2"/>
    <w:basedOn w:val="1"/>
    <w:next w:val="4"/>
    <w:qFormat/>
    <w:uiPriority w:val="0"/>
    <w:pPr>
      <w:ind w:left="210"/>
      <w:jc w:val="left"/>
    </w:pPr>
    <w:rPr>
      <w:rFonts w:ascii="Calibri" w:hAnsi="Calibri" w:eastAsia="宋体" w:cs="Calibri"/>
      <w:smallCaps/>
      <w:sz w:val="20"/>
    </w:rPr>
  </w:style>
  <w:style w:type="paragraph" w:customStyle="1" w:styleId="13">
    <w:name w:val="Default"/>
    <w:basedOn w:val="14"/>
    <w:next w:val="8"/>
    <w:qFormat/>
    <w:uiPriority w:val="0"/>
    <w:pPr>
      <w:autoSpaceDE w:val="0"/>
      <w:autoSpaceDN w:val="0"/>
    </w:pPr>
    <w:rPr>
      <w:rFonts w:hAnsi="Times New Roman" w:eastAsia="宋体" w:cs="宋体"/>
      <w:color w:val="000000"/>
      <w:sz w:val="24"/>
      <w:szCs w:val="24"/>
    </w:rPr>
  </w:style>
  <w:style w:type="paragraph" w:customStyle="1" w:styleId="14">
    <w:name w:val="纯文本1"/>
    <w:basedOn w:val="1"/>
    <w:next w:val="2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15">
    <w:name w:val="样式35"/>
    <w:basedOn w:val="16"/>
    <w:next w:val="17"/>
    <w:qFormat/>
    <w:uiPriority w:val="0"/>
    <w:pPr>
      <w:spacing w:line="312" w:lineRule="auto"/>
      <w:ind w:firstLine="567"/>
    </w:pPr>
    <w:rPr>
      <w:rFonts w:ascii="宋体" w:hAnsi="Times New Roman" w:eastAsia="宋体" w:cs="Times New Roman"/>
      <w:sz w:val="28"/>
    </w:rPr>
  </w:style>
  <w:style w:type="paragraph" w:customStyle="1" w:styleId="16">
    <w:name w:val="表 内容"/>
    <w:basedOn w:val="1"/>
    <w:qFormat/>
    <w:uiPriority w:val="0"/>
    <w:pPr>
      <w:adjustRightInd w:val="0"/>
      <w:snapToGrid w:val="0"/>
      <w:spacing w:beforeLines="15" w:afterLines="15"/>
      <w:jc w:val="center"/>
    </w:pPr>
    <w:rPr>
      <w:sz w:val="21"/>
      <w:szCs w:val="21"/>
    </w:rPr>
  </w:style>
  <w:style w:type="paragraph" w:customStyle="1" w:styleId="17">
    <w:name w:val="font6"/>
    <w:basedOn w:val="1"/>
    <w:next w:val="10"/>
    <w:qFormat/>
    <w:uiPriority w:val="0"/>
    <w:pPr>
      <w:widowControl/>
      <w:spacing w:before="280" w:after="280" w:line="240" w:lineRule="auto"/>
      <w:ind w:firstLine="0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1993</Words>
  <Characters>2290</Characters>
  <Lines>0</Lines>
  <Paragraphs>0</Paragraphs>
  <TotalTime>18</TotalTime>
  <ScaleCrop>false</ScaleCrop>
  <LinksUpToDate>false</LinksUpToDate>
  <CharactersWithSpaces>2293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2022-11-01T03:32:00Z</dcterms:created>
  <dc:creator>孙不鸦</dc:creator>
  <cp:lastModifiedBy>锂锂鱼</cp:lastModifiedBy>
  <cp:lastPrinted>2023-09-21T07:41:11Z</cp:lastPrinted>
  <dcterms:modified xsi:type="dcterms:W3CDTF">2023-09-21T07:42:37Z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8F0FEF45D2C446E8A67958FDF9C55CD2</vt:lpwstr>
  </property>
</Properties>
</file>