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</w:p>
    <w:p>
      <w:pPr>
        <w:pStyle w:val="17"/>
      </w:pPr>
    </w:p>
    <w:p>
      <w:pPr>
        <w:ind w:firstLine="5120" w:firstLineChars="16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湛环建霞〔202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spacing w:line="64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关于</w:t>
      </w:r>
      <w:r>
        <w:rPr>
          <w:rFonts w:hint="default" w:ascii="方正小标宋_GBK" w:hAnsi="方正小标宋_GBK" w:eastAsia="方正小标宋_GBK" w:cs="方正小标宋_GBK"/>
          <w:sz w:val="44"/>
          <w:szCs w:val="44"/>
        </w:rPr>
        <w:t>湛江市创通建筑材料有限公司新建项目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环境影响报告表的批复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湛江市创通建筑材料有限公司：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你单位报批的《湛江市创通建筑材料有限公司新建项目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环境影响报告表》（以下简称“报告表”）等材料收悉。经研究，批复如下：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一、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湛江市创通建筑材料有限公司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新建项目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位于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湛江市霞山区椹川大道西五路22号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，租用服装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工业区北区十厂房及东九空地，占地面积510</w:t>
      </w:r>
      <w:r>
        <w:rPr>
          <w:rFonts w:hint="eastAsia" w:cs="Times New Roman"/>
          <w:color w:val="auto"/>
          <w:sz w:val="32"/>
          <w:szCs w:val="32"/>
          <w:lang w:eastAsia="zh-CN"/>
        </w:rPr>
        <w:t>m</w:t>
      </w:r>
      <w:r>
        <w:rPr>
          <w:rFonts w:hint="eastAsia" w:cs="Times New Roman"/>
          <w:color w:val="auto"/>
          <w:sz w:val="32"/>
          <w:szCs w:val="32"/>
          <w:vertAlign w:val="superscript"/>
          <w:lang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，建筑面积510</w:t>
      </w:r>
      <w:r>
        <w:rPr>
          <w:rFonts w:hint="eastAsia" w:cs="Times New Roman"/>
          <w:color w:val="auto"/>
          <w:sz w:val="32"/>
          <w:szCs w:val="32"/>
          <w:lang w:eastAsia="zh-CN"/>
        </w:rPr>
        <w:t>m</w:t>
      </w:r>
      <w:r>
        <w:rPr>
          <w:rFonts w:hint="eastAsia" w:cs="Times New Roman"/>
          <w:color w:val="auto"/>
          <w:sz w:val="32"/>
          <w:szCs w:val="32"/>
          <w:vertAlign w:val="superscript"/>
          <w:lang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，从事生产腻子粉和瓷砖胶，生产规模为年产8000吨腻子粉和8000吨瓷砖胶。项目劳动定员人数为6人，均在厂区住宿，不设置食堂。生产车间实行一天一班制，每班6小时，全年工作300天。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该项目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总投资1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0万元，其中环保投资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二、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根据报告表的评价结论，在全面落实报告表中提出的各项污染防治和风险防范措施，并确保污染物排放稳定达标且符合总量要求的前提下，项目按照报告表中所列性质、规模、地点和拟采取的环境保护措施进行建设，从环境保护角度可行。我局原则通过对报告表的审查，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应按照报告表内容组织实施。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6" w:firstLineChars="177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三、项目建设和运营中还应重点做好以下工作：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6" w:firstLineChars="177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）该项目须加强环保管理和“三废”防治设施维护，严格按照环评的要求做好各项污染防治措施，确保项目固废及危废得到有效处置、生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活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废水达标排放、项目大气污染物及生产噪声得到有效防治和持续稳定达标排放。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6" w:firstLineChars="177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该项目须加强危险废物的管理。1.严格按照《危险废物贮存污染控制标准》（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GB18597-20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及其修改单）中的相关规定设计建设危险废物暂存间，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满足</w:t>
      </w:r>
      <w:r>
        <w:rPr>
          <w:rFonts w:hint="eastAsia" w:ascii="仿宋_GB2312" w:hAnsi="仿宋_GB2312" w:eastAsia="仿宋_GB2312" w:cs="仿宋_GB2312"/>
          <w:sz w:val="32"/>
          <w:szCs w:val="32"/>
        </w:rPr>
        <w:t>防雨、防渗、防风、防晒、防漏等要求，并设置截留沟；2.危险废物须交由有资质的单位进行安全处置；3.建立危险废物管理台账，存档备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6" w:firstLineChars="177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）该项目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运营过程中产生的粉尘废气经收集进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布袋除尘器处理后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通过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15m排气筒（DA001）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高空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排放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，执行广东省地方标准《大气污染物排放限值》（DB44/27-2001）第二时段二级标准及无组织排放监控浓度限值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生活污水</w:t>
      </w:r>
      <w:r>
        <w:rPr>
          <w:rFonts w:hint="default" w:ascii="Times New Roman" w:hAnsi="Times New Roman" w:eastAsia="仿宋_GB2312" w:cs="Times New Roman"/>
          <w:sz w:val="32"/>
          <w:szCs w:val="32"/>
          <w:lang w:val="en-GB" w:eastAsia="zh-TW"/>
        </w:rPr>
        <w:t>经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GB" w:eastAsia="zh-TW"/>
        </w:rPr>
        <w:t>三级化粪池预处理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后执行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广东省地方标准《水污染物排放限值》（DB44/26-2001）中第二时段三级标准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和霞山水质净化厂进水水质标准的较严值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后排入霞山水质净化厂；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场界四周噪声执行《工业企业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厂界环境噪声排放标准》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（GB12348-2008）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2类标准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该项目建设必须严格执行配套环境保护设施与主体工程同时设计、同时施工、同时投产使用的环境保护“三同时”制度。项目竣工后，建设单位须按规定程序自主开展建设项目竣工环境保护验收，验收合格后方可正式投入生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6" w:firstLineChars="177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四、若项目的性质、规模、地点、工艺或者防治污染的措施发生重大变动，应重新报批项目的环境影响评价文件。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6" w:firstLineChars="177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五、本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次环评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及批复不包含放射及电磁辐射相关内容。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629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湛江市生态环境局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54DB2B"/>
    <w:multiLevelType w:val="singleLevel"/>
    <w:tmpl w:val="D854DB2B"/>
    <w:lvl w:ilvl="0" w:tentative="0">
      <w:start w:val="1"/>
      <w:numFmt w:val="bullet"/>
      <w:pStyle w:val="8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NWE2YjU2NWMzMDFlZDI0M2JjZTQ5NjZmNGEzNDQifQ=="/>
  </w:docVars>
  <w:rsids>
    <w:rsidRoot w:val="78D42C0B"/>
    <w:rsid w:val="66D41C46"/>
    <w:rsid w:val="78D42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6">
    <w:name w:val="Default Paragraph Font"/>
    <w:semiHidden/>
    <w:uiPriority w:val="0"/>
  </w:style>
  <w:style w:type="table" w:default="1" w:styleId="1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0" w:lineRule="atLeast"/>
    </w:pPr>
    <w:rPr>
      <w:rFonts w:eastAsia="小标宋"/>
      <w:sz w:val="44"/>
    </w:rPr>
  </w:style>
  <w:style w:type="paragraph" w:customStyle="1" w:styleId="3">
    <w:name w:val="xl27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eastAsia="Arial Unicode MS"/>
      <w:kern w:val="0"/>
      <w:szCs w:val="21"/>
    </w:rPr>
  </w:style>
  <w:style w:type="paragraph" w:styleId="5">
    <w:name w:val="E-mail Signature"/>
    <w:basedOn w:val="1"/>
    <w:next w:val="6"/>
    <w:qFormat/>
    <w:uiPriority w:val="0"/>
    <w:pPr>
      <w:spacing w:line="460" w:lineRule="exact"/>
      <w:ind w:firstLine="200"/>
    </w:pPr>
    <w:rPr>
      <w:sz w:val="24"/>
    </w:rPr>
  </w:style>
  <w:style w:type="paragraph" w:customStyle="1" w:styleId="6">
    <w:name w:val="文章"/>
    <w:basedOn w:val="1"/>
    <w:next w:val="7"/>
    <w:qFormat/>
    <w:uiPriority w:val="0"/>
    <w:pPr>
      <w:widowControl/>
      <w:ind w:firstLine="480"/>
      <w:jc w:val="center"/>
    </w:pPr>
    <w:rPr>
      <w:sz w:val="26"/>
    </w:rPr>
  </w:style>
  <w:style w:type="paragraph" w:styleId="7">
    <w:name w:val="List"/>
    <w:basedOn w:val="1"/>
    <w:next w:val="8"/>
    <w:qFormat/>
    <w:uiPriority w:val="0"/>
    <w:pPr>
      <w:ind w:left="200" w:hanging="200" w:hangingChars="200"/>
    </w:pPr>
    <w:rPr>
      <w:rFonts w:ascii="Times New Roman" w:hAnsi="Times New Roman" w:eastAsia="宋体" w:cs="Times New Roman"/>
      <w:szCs w:val="24"/>
    </w:rPr>
  </w:style>
  <w:style w:type="paragraph" w:styleId="8">
    <w:name w:val="List Bullet 2"/>
    <w:basedOn w:val="1"/>
    <w:next w:val="9"/>
    <w:uiPriority w:val="0"/>
    <w:pPr>
      <w:numPr>
        <w:ilvl w:val="0"/>
        <w:numId w:val="1"/>
      </w:numPr>
    </w:pPr>
  </w:style>
  <w:style w:type="paragraph" w:customStyle="1" w:styleId="9">
    <w:name w:val="xl70"/>
    <w:basedOn w:val="1"/>
    <w:next w:val="10"/>
    <w:qFormat/>
    <w:uiPriority w:val="0"/>
    <w:pPr>
      <w:widowControl/>
      <w:tabs>
        <w:tab w:val="left" w:pos="480"/>
      </w:tabs>
      <w:spacing w:before="280" w:after="280"/>
    </w:pPr>
    <w:rPr>
      <w:rFonts w:ascii="宋体"/>
    </w:rPr>
  </w:style>
  <w:style w:type="paragraph" w:customStyle="1" w:styleId="10">
    <w:name w:val="正文缩进1"/>
    <w:basedOn w:val="1"/>
    <w:next w:val="11"/>
    <w:qFormat/>
    <w:uiPriority w:val="0"/>
    <w:pPr>
      <w:tabs>
        <w:tab w:val="left" w:pos="480"/>
      </w:tabs>
      <w:ind w:firstLine="420"/>
    </w:pPr>
    <w:rPr>
      <w:szCs w:val="20"/>
    </w:rPr>
  </w:style>
  <w:style w:type="paragraph" w:customStyle="1" w:styleId="11">
    <w:name w:val="td1"/>
    <w:basedOn w:val="1"/>
    <w:next w:val="1"/>
    <w:qFormat/>
    <w:uiPriority w:val="0"/>
    <w:pPr>
      <w:widowControl/>
      <w:tabs>
        <w:tab w:val="left" w:pos="480"/>
      </w:tabs>
      <w:spacing w:before="280" w:after="280" w:line="300" w:lineRule="atLeast"/>
      <w:ind w:firstLine="200"/>
    </w:pPr>
    <w:rPr>
      <w:color w:val="000000"/>
      <w:sz w:val="18"/>
    </w:rPr>
  </w:style>
  <w:style w:type="paragraph" w:styleId="12">
    <w:name w:val="Normal Indent"/>
    <w:basedOn w:val="1"/>
    <w:next w:val="1"/>
    <w:qFormat/>
    <w:uiPriority w:val="0"/>
    <w:pPr>
      <w:tabs>
        <w:tab w:val="left" w:pos="480"/>
      </w:tabs>
      <w:ind w:firstLine="420" w:firstLineChars="200"/>
    </w:pPr>
  </w:style>
  <w:style w:type="paragraph" w:styleId="13">
    <w:name w:val="Plain Text"/>
    <w:basedOn w:val="1"/>
    <w:next w:val="1"/>
    <w:qFormat/>
    <w:uiPriority w:val="0"/>
    <w:rPr>
      <w:rFonts w:ascii="宋体" w:hAnsi="Courier New"/>
      <w:szCs w:val="21"/>
    </w:rPr>
  </w:style>
  <w:style w:type="paragraph" w:styleId="14">
    <w:name w:val="toc 2"/>
    <w:basedOn w:val="1"/>
    <w:next w:val="5"/>
    <w:qFormat/>
    <w:uiPriority w:val="0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customStyle="1" w:styleId="17">
    <w:name w:val="Default"/>
    <w:basedOn w:val="18"/>
    <w:next w:val="1"/>
    <w:qFormat/>
    <w:uiPriority w:val="0"/>
    <w:pPr>
      <w:autoSpaceDE w:val="0"/>
      <w:autoSpaceDN w:val="0"/>
    </w:pPr>
    <w:rPr>
      <w:rFonts w:cs="宋体"/>
      <w:color w:val="000000"/>
      <w:sz w:val="24"/>
      <w:szCs w:val="24"/>
    </w:rPr>
  </w:style>
  <w:style w:type="paragraph" w:customStyle="1" w:styleId="18">
    <w:name w:val="纯文本1"/>
    <w:basedOn w:val="1"/>
    <w:qFormat/>
    <w:uiPriority w:val="0"/>
    <w:pPr>
      <w:adjustRightInd w:val="0"/>
    </w:pPr>
    <w:rPr>
      <w:rFonts w:ascii="宋体" w:hAnsi="Courier New"/>
      <w:szCs w:val="20"/>
    </w:rPr>
  </w:style>
  <w:style w:type="paragraph" w:customStyle="1" w:styleId="19">
    <w:name w:val="报告表正文"/>
    <w:basedOn w:val="2"/>
    <w:next w:val="1"/>
    <w:qFormat/>
    <w:uiPriority w:val="0"/>
    <w:pPr>
      <w:spacing w:before="0" w:beforeLines="0" w:line="360" w:lineRule="auto"/>
      <w:ind w:left="0" w:right="0" w:firstLine="720" w:firstLineChars="200"/>
    </w:pPr>
    <w:rPr>
      <w:rFonts w:ascii="Times New Roman" w:hAnsi="Times New Roman" w:eastAsia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968</Words>
  <Characters>1030</Characters>
  <Lines>0</Lines>
  <Paragraphs>0</Paragraphs>
  <TotalTime>4</TotalTime>
  <ScaleCrop>false</ScaleCrop>
  <LinksUpToDate>false</LinksUpToDate>
  <CharactersWithSpaces>1068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2023-09-04T01:46:00Z</dcterms:created>
  <dc:creator>孙不鸦</dc:creator>
  <cp:lastModifiedBy>孙不鸦</cp:lastModifiedBy>
  <dcterms:modified xsi:type="dcterms:W3CDTF">2023-09-04T02:26:37Z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B26613506EF7477295D72CA93DEADEBA_11</vt:lpwstr>
  </property>
</Properties>
</file>