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289" w:beforeLines="50" w:after="289" w:afterLines="5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宋体" w:eastAsia="方正小标宋简体"/>
          <w:sz w:val="44"/>
          <w:szCs w:val="44"/>
          <w:lang w:val="en-US" w:eastAsia="zh-CN"/>
        </w:rPr>
        <w:t>关于</w:t>
      </w:r>
      <w:r>
        <w:rPr>
          <w:rFonts w:hint="eastAsia" w:ascii="方正小标宋简体" w:hAnsi="方正小标宋简体" w:eastAsia="方正小标宋简体" w:cs="方正小标宋简体"/>
          <w:sz w:val="44"/>
          <w:szCs w:val="44"/>
        </w:rPr>
        <w:t>《湛江市</w:t>
      </w:r>
      <w:r>
        <w:rPr>
          <w:rFonts w:hint="eastAsia" w:ascii="方正小标宋简体" w:hAnsi="方正小标宋简体" w:eastAsia="方正小标宋简体" w:cs="方正小标宋简体"/>
          <w:sz w:val="44"/>
          <w:szCs w:val="44"/>
          <w:lang w:val="en-US" w:eastAsia="zh-CN"/>
        </w:rPr>
        <w:t>霞山区</w:t>
      </w:r>
      <w:r>
        <w:rPr>
          <w:rFonts w:hint="eastAsia" w:ascii="方正小标宋简体" w:hAnsi="方正小标宋简体" w:eastAsia="方正小标宋简体" w:cs="方正小标宋简体"/>
          <w:sz w:val="44"/>
          <w:szCs w:val="44"/>
        </w:rPr>
        <w:t>农村集体资金资产资源</w:t>
      </w:r>
    </w:p>
    <w:p>
      <w:pPr>
        <w:keepNext w:val="0"/>
        <w:keepLines w:val="0"/>
        <w:pageBreakBefore w:val="0"/>
        <w:kinsoku/>
        <w:wordWrap/>
        <w:overflowPunct/>
        <w:topLinePunct w:val="0"/>
        <w:autoSpaceDE/>
        <w:autoSpaceDN/>
        <w:bidi w:val="0"/>
        <w:adjustRightInd/>
        <w:snapToGrid/>
        <w:spacing w:before="289" w:beforeLines="50" w:after="289" w:afterLines="50" w:line="560" w:lineRule="exact"/>
        <w:jc w:val="center"/>
        <w:textAlignment w:val="auto"/>
        <w:rPr>
          <w:rFonts w:hint="default" w:ascii="方正小标宋简体" w:hAnsi="宋体" w:eastAsia="方正小标宋简体"/>
          <w:sz w:val="44"/>
          <w:szCs w:val="44"/>
          <w:lang w:val="en-US" w:eastAsia="zh-CN"/>
        </w:rPr>
      </w:pPr>
      <w:r>
        <w:rPr>
          <w:rFonts w:hint="eastAsia" w:ascii="方正小标宋简体" w:hAnsi="方正小标宋简体" w:eastAsia="方正小标宋简体" w:cs="方正小标宋简体"/>
          <w:sz w:val="44"/>
          <w:szCs w:val="44"/>
        </w:rPr>
        <w:t>管理暂行规定》</w:t>
      </w:r>
      <w:r>
        <w:rPr>
          <w:rFonts w:hint="eastAsia" w:ascii="方正小标宋简体" w:hAnsi="宋体" w:eastAsia="方正小标宋简体"/>
          <w:sz w:val="44"/>
          <w:szCs w:val="44"/>
          <w:lang w:val="en-US" w:eastAsia="zh-CN"/>
        </w:rPr>
        <w:t>的解读</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cs="仿宋_GB2312"/>
          <w:sz w:val="32"/>
          <w:szCs w:val="32"/>
          <w:lang w:val="en-US" w:eastAsia="zh-CN"/>
        </w:rPr>
        <w:t>中共湛江市霞山区委办公室 湛江市霞山区政府办公室于2023年11月23日印发</w:t>
      </w:r>
      <w:r>
        <w:rPr>
          <w:rFonts w:hint="eastAsia" w:ascii="仿宋_GB2312" w:hAnsi="仿宋_GB2312" w:eastAsia="仿宋_GB2312" w:cs="仿宋_GB2312"/>
          <w:sz w:val="32"/>
          <w:szCs w:val="32"/>
        </w:rPr>
        <w:t>《湛江市</w:t>
      </w:r>
      <w:r>
        <w:rPr>
          <w:rFonts w:hint="eastAsia" w:ascii="仿宋_GB2312" w:hAnsi="仿宋_GB2312" w:cs="仿宋_GB2312"/>
          <w:sz w:val="32"/>
          <w:szCs w:val="32"/>
          <w:lang w:val="en-US" w:eastAsia="zh-CN"/>
        </w:rPr>
        <w:t>霞山区</w:t>
      </w:r>
      <w:r>
        <w:rPr>
          <w:rFonts w:hint="eastAsia" w:ascii="仿宋_GB2312" w:hAnsi="仿宋_GB2312" w:eastAsia="仿宋_GB2312" w:cs="仿宋_GB2312"/>
          <w:sz w:val="32"/>
          <w:szCs w:val="32"/>
        </w:rPr>
        <w:t>农村集体资金资产资源管理暂行规定》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以下</w:t>
      </w:r>
      <w:r>
        <w:rPr>
          <w:rFonts w:hint="eastAsia" w:ascii="仿宋_GB2312" w:hAnsi="仿宋_GB2312" w:eastAsia="仿宋_GB2312" w:cs="仿宋_GB2312"/>
          <w:sz w:val="32"/>
          <w:szCs w:val="32"/>
        </w:rPr>
        <w:t>简称</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rPr>
        <w:t>三资管理规定</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现将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rPr>
        <w:t>三资管理规定</w:t>
      </w:r>
      <w:r>
        <w:rPr>
          <w:rFonts w:hint="eastAsia" w:ascii="仿宋_GB2312" w:hAnsi="仿宋_GB2312" w:cs="仿宋_GB2312"/>
          <w:sz w:val="32"/>
          <w:szCs w:val="32"/>
          <w:lang w:eastAsia="zh-CN"/>
        </w:rPr>
        <w:t>》的</w:t>
      </w:r>
      <w:r>
        <w:rPr>
          <w:rFonts w:hint="eastAsia" w:ascii="仿宋_GB2312" w:hAnsi="仿宋_GB2312" w:cs="仿宋_GB2312"/>
          <w:sz w:val="32"/>
          <w:szCs w:val="32"/>
          <w:lang w:val="en-US" w:eastAsia="zh-CN"/>
        </w:rPr>
        <w:t>有关情况解读如下：</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一、</w:t>
      </w:r>
      <w:r>
        <w:rPr>
          <w:rFonts w:hint="eastAsia" w:ascii="黑体" w:hAnsi="黑体" w:eastAsia="黑体" w:cs="黑体"/>
          <w:b w:val="0"/>
          <w:bCs w:val="0"/>
          <w:color w:val="000000"/>
          <w:kern w:val="0"/>
          <w:sz w:val="32"/>
          <w:szCs w:val="32"/>
          <w:shd w:val="clear" w:color="auto" w:fill="FFFFFF"/>
          <w:lang w:val="en-US" w:eastAsia="zh-CN"/>
        </w:rPr>
        <w:t>制定</w:t>
      </w:r>
      <w:r>
        <w:rPr>
          <w:rFonts w:hint="eastAsia" w:ascii="黑体" w:hAnsi="黑体" w:eastAsia="黑体" w:cs="黑体"/>
          <w:b w:val="0"/>
          <w:bCs w:val="0"/>
          <w:color w:val="000000"/>
          <w:kern w:val="0"/>
          <w:sz w:val="32"/>
          <w:szCs w:val="32"/>
          <w:shd w:val="clear" w:color="auto" w:fill="FFFFFF"/>
        </w:rPr>
        <w:t>背景</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实施“百县千镇万村高质量发展工程”，持续优化营商环境，扎实推进宜居宜业和美乡村建设，进一步优化农村集体资金、资产、资源管理，更好地保障和推动农村集体经济又好又快发展，根据有关文件要求，结合</w:t>
      </w:r>
      <w:r>
        <w:rPr>
          <w:rFonts w:hint="eastAsia" w:ascii="仿宋_GB2312" w:hAnsi="仿宋_GB2312" w:cs="仿宋_GB2312"/>
          <w:sz w:val="32"/>
          <w:szCs w:val="32"/>
          <w:lang w:val="en-US" w:eastAsia="zh-CN"/>
        </w:rPr>
        <w:t>霞山</w:t>
      </w:r>
      <w:r>
        <w:rPr>
          <w:rFonts w:hint="eastAsia" w:ascii="仿宋_GB2312" w:hAnsi="仿宋_GB2312" w:eastAsia="仿宋_GB2312" w:cs="仿宋_GB2312"/>
          <w:sz w:val="32"/>
          <w:szCs w:val="32"/>
        </w:rPr>
        <w:t>区实际，区农业农村局对《湛江市霞山区农村集体资金资产资源管理暂行规定（2021年第二次修订版）》进行修订，起草了《区三资管理规定》。</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二、形成过程</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仿宋_GB2312" w:hAnsi="Calibri" w:eastAsia="仿宋_GB2312" w:cs="Times New Roman"/>
          <w:sz w:val="32"/>
          <w:szCs w:val="32"/>
          <w:lang w:val="en-US" w:eastAsia="zh-CN"/>
        </w:rPr>
      </w:pPr>
      <w:r>
        <w:rPr>
          <w:rFonts w:hint="eastAsia" w:ascii="仿宋_GB2312" w:eastAsia="仿宋_GB2312"/>
          <w:sz w:val="32"/>
          <w:szCs w:val="32"/>
          <w:lang w:val="en-US" w:eastAsia="zh-CN"/>
        </w:rPr>
        <w:t>按照区委</w:t>
      </w:r>
      <w:r>
        <w:rPr>
          <w:rFonts w:hint="eastAsia" w:ascii="仿宋_GB2312"/>
          <w:sz w:val="32"/>
          <w:szCs w:val="32"/>
          <w:lang w:val="en-US" w:eastAsia="zh-CN"/>
        </w:rPr>
        <w:t>、区政府</w:t>
      </w:r>
      <w:r>
        <w:rPr>
          <w:rFonts w:hint="eastAsia" w:ascii="仿宋_GB2312" w:eastAsia="仿宋_GB2312"/>
          <w:sz w:val="32"/>
          <w:szCs w:val="32"/>
          <w:lang w:val="en-US" w:eastAsia="zh-CN"/>
        </w:rPr>
        <w:t>工作部署，</w:t>
      </w:r>
      <w:r>
        <w:rPr>
          <w:rFonts w:hint="eastAsia" w:ascii="仿宋_GB2312" w:hAnsi="Calibri" w:cs="Times New Roman"/>
          <w:sz w:val="32"/>
          <w:szCs w:val="32"/>
          <w:lang w:val="en-US" w:eastAsia="zh-CN"/>
        </w:rPr>
        <w:t>区农业农村局</w:t>
      </w:r>
      <w:r>
        <w:rPr>
          <w:rFonts w:hint="eastAsia" w:ascii="仿宋_GB2312" w:hAnsi="Calibri" w:eastAsia="仿宋_GB2312" w:cs="Times New Roman"/>
          <w:sz w:val="32"/>
          <w:szCs w:val="32"/>
          <w:lang w:val="en-US" w:eastAsia="zh-CN"/>
        </w:rPr>
        <w:t>深入</w:t>
      </w:r>
      <w:r>
        <w:rPr>
          <w:rFonts w:hint="eastAsia" w:ascii="仿宋_GB2312" w:eastAsia="仿宋_GB2312"/>
          <w:sz w:val="32"/>
          <w:szCs w:val="32"/>
          <w:lang w:val="en-US" w:eastAsia="zh-CN"/>
        </w:rPr>
        <w:t>学习领会省、市有关文件精神，</w:t>
      </w:r>
      <w:r>
        <w:rPr>
          <w:rFonts w:hint="eastAsia" w:ascii="仿宋_GB2312" w:eastAsia="仿宋_GB2312" w:cs="Times New Roman"/>
          <w:sz w:val="32"/>
          <w:szCs w:val="32"/>
          <w:lang w:val="en-US" w:eastAsia="zh-CN"/>
        </w:rPr>
        <w:t>结合霞山区的实际，</w:t>
      </w:r>
      <w:r>
        <w:rPr>
          <w:rFonts w:hint="eastAsia" w:ascii="仿宋_GB2312" w:eastAsia="仿宋_GB2312"/>
          <w:sz w:val="32"/>
          <w:szCs w:val="32"/>
          <w:lang w:val="en-US" w:eastAsia="zh-CN"/>
        </w:rPr>
        <w:t>于202</w:t>
      </w:r>
      <w:r>
        <w:rPr>
          <w:rFonts w:hint="eastAsia" w:ascii="仿宋_GB2312"/>
          <w:sz w:val="32"/>
          <w:szCs w:val="32"/>
          <w:lang w:val="en-US" w:eastAsia="zh-CN"/>
        </w:rPr>
        <w:t>3</w:t>
      </w:r>
      <w:r>
        <w:rPr>
          <w:rFonts w:hint="eastAsia" w:ascii="仿宋_GB2312" w:eastAsia="仿宋_GB2312"/>
          <w:sz w:val="32"/>
          <w:szCs w:val="32"/>
          <w:lang w:val="en-US" w:eastAsia="zh-CN"/>
        </w:rPr>
        <w:t>年</w:t>
      </w:r>
      <w:r>
        <w:rPr>
          <w:rFonts w:hint="eastAsia" w:ascii="仿宋_GB2312"/>
          <w:sz w:val="32"/>
          <w:szCs w:val="32"/>
          <w:lang w:val="en-US" w:eastAsia="zh-CN"/>
        </w:rPr>
        <w:t>10</w:t>
      </w:r>
      <w:r>
        <w:rPr>
          <w:rFonts w:hint="eastAsia" w:ascii="仿宋_GB2312" w:eastAsia="仿宋_GB2312"/>
          <w:sz w:val="32"/>
          <w:szCs w:val="32"/>
          <w:lang w:val="en-US" w:eastAsia="zh-CN"/>
        </w:rPr>
        <w:t>月起草了</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rPr>
        <w:t>三资管理规定</w:t>
      </w:r>
      <w:r>
        <w:rPr>
          <w:rFonts w:hint="eastAsia" w:ascii="仿宋_GB2312" w:hAnsi="仿宋_GB2312" w:cs="仿宋_GB2312"/>
          <w:sz w:val="32"/>
          <w:szCs w:val="32"/>
          <w:lang w:eastAsia="zh-CN"/>
        </w:rPr>
        <w:t>》</w:t>
      </w:r>
      <w:r>
        <w:rPr>
          <w:rFonts w:hint="eastAsia" w:ascii="仿宋_GB2312" w:hAnsi="Calibri" w:eastAsia="仿宋_GB2312" w:cs="Times New Roman"/>
          <w:sz w:val="32"/>
          <w:szCs w:val="32"/>
          <w:lang w:val="en-US" w:eastAsia="zh-CN"/>
        </w:rPr>
        <w:t>（稿），并征求相关街道办和区委组织部、区纪委监委，区财政局、区自然资源局、区审计局、区档案馆、区财务管理中心等</w:t>
      </w:r>
      <w:r>
        <w:rPr>
          <w:rFonts w:hint="eastAsia" w:ascii="仿宋_GB2312" w:hAnsi="Calibri" w:cs="Times New Roman"/>
          <w:sz w:val="32"/>
          <w:szCs w:val="32"/>
          <w:lang w:val="en-US" w:eastAsia="zh-CN"/>
        </w:rPr>
        <w:t>17个</w:t>
      </w:r>
      <w:r>
        <w:rPr>
          <w:rFonts w:hint="eastAsia" w:ascii="仿宋_GB2312" w:hAnsi="Calibri" w:eastAsia="仿宋_GB2312" w:cs="Times New Roman"/>
          <w:sz w:val="32"/>
          <w:szCs w:val="32"/>
          <w:lang w:val="en-US" w:eastAsia="zh-CN"/>
        </w:rPr>
        <w:t>单位的意见</w:t>
      </w:r>
      <w:r>
        <w:rPr>
          <w:rFonts w:hint="eastAsia" w:ascii="仿宋_GB2312" w:eastAsia="仿宋_GB2312"/>
          <w:sz w:val="32"/>
          <w:szCs w:val="32"/>
          <w:lang w:val="en-US" w:eastAsia="zh-CN"/>
        </w:rPr>
        <w:t>。</w:t>
      </w:r>
      <w:r>
        <w:rPr>
          <w:rFonts w:hint="eastAsia" w:ascii="仿宋_GB2312"/>
          <w:sz w:val="32"/>
          <w:szCs w:val="32"/>
          <w:lang w:val="en-US" w:eastAsia="zh-CN"/>
        </w:rPr>
        <w:t>10</w:t>
      </w:r>
      <w:r>
        <w:rPr>
          <w:rFonts w:hint="eastAsia" w:ascii="仿宋_GB2312" w:eastAsia="仿宋_GB2312"/>
          <w:sz w:val="32"/>
          <w:szCs w:val="32"/>
          <w:lang w:val="en-US" w:eastAsia="zh-CN"/>
        </w:rPr>
        <w:t>月</w:t>
      </w:r>
      <w:r>
        <w:rPr>
          <w:rFonts w:hint="eastAsia" w:ascii="仿宋_GB2312"/>
          <w:sz w:val="32"/>
          <w:szCs w:val="32"/>
          <w:lang w:val="en-US" w:eastAsia="zh-CN"/>
        </w:rPr>
        <w:t>中</w:t>
      </w:r>
      <w:r>
        <w:rPr>
          <w:rFonts w:hint="eastAsia" w:ascii="仿宋_GB2312" w:eastAsia="仿宋_GB2312"/>
          <w:sz w:val="32"/>
          <w:szCs w:val="32"/>
          <w:lang w:val="en-US" w:eastAsia="zh-CN"/>
        </w:rPr>
        <w:t>旬，区委办对文稿进行前置审核。</w:t>
      </w:r>
      <w:r>
        <w:rPr>
          <w:rFonts w:hint="eastAsia" w:ascii="仿宋_GB2312"/>
          <w:sz w:val="32"/>
          <w:szCs w:val="32"/>
          <w:lang w:val="en-US" w:eastAsia="zh-CN"/>
        </w:rPr>
        <w:t>10</w:t>
      </w:r>
      <w:r>
        <w:rPr>
          <w:rFonts w:hint="eastAsia" w:ascii="仿宋_GB2312" w:eastAsia="仿宋_GB2312"/>
          <w:sz w:val="32"/>
          <w:szCs w:val="32"/>
          <w:lang w:val="en-US" w:eastAsia="zh-CN"/>
        </w:rPr>
        <w:t>月</w:t>
      </w:r>
      <w:r>
        <w:rPr>
          <w:rFonts w:hint="eastAsia" w:ascii="仿宋_GB2312"/>
          <w:sz w:val="32"/>
          <w:szCs w:val="32"/>
          <w:lang w:val="en-US" w:eastAsia="zh-CN"/>
        </w:rPr>
        <w:t>25</w:t>
      </w:r>
      <w:r>
        <w:rPr>
          <w:rFonts w:hint="eastAsia" w:ascii="仿宋_GB2312" w:eastAsia="仿宋_GB2312"/>
          <w:sz w:val="32"/>
          <w:szCs w:val="32"/>
          <w:lang w:val="en-US" w:eastAsia="zh-CN"/>
        </w:rPr>
        <w:t>日、</w:t>
      </w:r>
      <w:r>
        <w:rPr>
          <w:rFonts w:hint="eastAsia" w:ascii="仿宋_GB2312" w:hAnsi="Calibri" w:cs="Times New Roman"/>
          <w:sz w:val="32"/>
          <w:szCs w:val="32"/>
          <w:lang w:val="en-US" w:eastAsia="zh-CN"/>
        </w:rPr>
        <w:t>11</w:t>
      </w:r>
      <w:r>
        <w:rPr>
          <w:rFonts w:hint="eastAsia" w:ascii="仿宋_GB2312" w:hAnsi="Calibri" w:eastAsia="仿宋_GB2312" w:cs="Times New Roman"/>
          <w:sz w:val="32"/>
          <w:szCs w:val="32"/>
          <w:lang w:val="en-US" w:eastAsia="zh-CN"/>
        </w:rPr>
        <w:t>月</w:t>
      </w:r>
      <w:r>
        <w:rPr>
          <w:rFonts w:hint="eastAsia" w:ascii="仿宋_GB2312" w:hAnsi="Calibri" w:cs="Times New Roman"/>
          <w:sz w:val="32"/>
          <w:szCs w:val="32"/>
          <w:lang w:val="en-US" w:eastAsia="zh-CN"/>
        </w:rPr>
        <w:t>10</w:t>
      </w:r>
      <w:r>
        <w:rPr>
          <w:rFonts w:hint="eastAsia" w:ascii="仿宋_GB2312" w:hAnsi="Calibri" w:eastAsia="仿宋_GB2312" w:cs="Times New Roman"/>
          <w:sz w:val="32"/>
          <w:szCs w:val="32"/>
          <w:lang w:val="en-US" w:eastAsia="zh-CN"/>
        </w:rPr>
        <w:t>日依次提交区政府常务会议和区委常委会（扩大）会议研究</w:t>
      </w:r>
      <w:r>
        <w:rPr>
          <w:rFonts w:hint="eastAsia" w:ascii="仿宋_GB2312" w:eastAsia="仿宋_GB2312"/>
          <w:sz w:val="32"/>
          <w:szCs w:val="32"/>
          <w:lang w:eastAsia="zh-CN"/>
        </w:rPr>
        <w:t>审议并</w:t>
      </w:r>
      <w:r>
        <w:rPr>
          <w:rFonts w:hint="eastAsia" w:ascii="仿宋_GB2312" w:eastAsia="仿宋_GB2312"/>
          <w:sz w:val="32"/>
          <w:szCs w:val="32"/>
        </w:rPr>
        <w:t>原则通过</w:t>
      </w:r>
      <w:r>
        <w:rPr>
          <w:rFonts w:hint="eastAsia" w:ascii="仿宋_GB2312" w:eastAsia="仿宋_GB2312"/>
          <w:sz w:val="32"/>
          <w:szCs w:val="32"/>
          <w:lang w:eastAsia="zh-CN"/>
        </w:rPr>
        <w:t>。</w:t>
      </w:r>
      <w:r>
        <w:rPr>
          <w:rFonts w:hint="eastAsia" w:ascii="仿宋_GB2312" w:eastAsia="仿宋_GB2312"/>
          <w:sz w:val="32"/>
          <w:szCs w:val="32"/>
          <w:lang w:val="en-US" w:eastAsia="zh-CN"/>
        </w:rPr>
        <w:t>会后，区委办商</w:t>
      </w:r>
      <w:r>
        <w:rPr>
          <w:rFonts w:hint="eastAsia" w:ascii="仿宋_GB2312" w:hAnsi="Calibri" w:eastAsia="仿宋_GB2312" w:cs="Times New Roman"/>
          <w:sz w:val="32"/>
          <w:szCs w:val="32"/>
          <w:lang w:val="en-US" w:eastAsia="zh-CN"/>
        </w:rPr>
        <w:t>区</w:t>
      </w:r>
      <w:r>
        <w:rPr>
          <w:rFonts w:hint="eastAsia" w:ascii="仿宋_GB2312" w:hAnsi="Calibri" w:cs="Times New Roman"/>
          <w:sz w:val="32"/>
          <w:szCs w:val="32"/>
          <w:lang w:val="en-US" w:eastAsia="zh-CN"/>
        </w:rPr>
        <w:t>农业农村局</w:t>
      </w:r>
      <w:r>
        <w:rPr>
          <w:rFonts w:hint="eastAsia" w:ascii="仿宋_GB2312" w:hAnsi="Calibri" w:eastAsia="仿宋_GB2312" w:cs="Times New Roman"/>
          <w:sz w:val="32"/>
          <w:szCs w:val="32"/>
          <w:lang w:val="en-US" w:eastAsia="zh-CN"/>
        </w:rPr>
        <w:t>根据会议意见对文稿进行修改完善，按程序报批。</w:t>
      </w:r>
      <w:r>
        <w:rPr>
          <w:rFonts w:hint="eastAsia" w:ascii="仿宋_GB2312" w:hAnsi="Calibri" w:cs="Times New Roman"/>
          <w:sz w:val="32"/>
          <w:szCs w:val="32"/>
          <w:lang w:val="en-US" w:eastAsia="zh-CN"/>
        </w:rPr>
        <w:t>11</w:t>
      </w:r>
      <w:r>
        <w:rPr>
          <w:rFonts w:hint="eastAsia" w:ascii="仿宋_GB2312" w:hAnsi="Calibri" w:eastAsia="仿宋_GB2312" w:cs="Times New Roman"/>
          <w:sz w:val="32"/>
          <w:szCs w:val="32"/>
          <w:lang w:val="en-US" w:eastAsia="zh-CN"/>
        </w:rPr>
        <w:t>月</w:t>
      </w:r>
      <w:r>
        <w:rPr>
          <w:rFonts w:hint="eastAsia" w:ascii="仿宋_GB2312" w:hAnsi="Calibri" w:cs="Times New Roman"/>
          <w:sz w:val="32"/>
          <w:szCs w:val="32"/>
          <w:lang w:val="en-US" w:eastAsia="zh-CN"/>
        </w:rPr>
        <w:t>23</w:t>
      </w:r>
      <w:r>
        <w:rPr>
          <w:rFonts w:hint="eastAsia" w:ascii="仿宋_GB2312" w:hAnsi="Calibri" w:eastAsia="仿宋_GB2312" w:cs="Times New Roman"/>
          <w:sz w:val="32"/>
          <w:szCs w:val="32"/>
          <w:lang w:val="en-US" w:eastAsia="zh-CN"/>
        </w:rPr>
        <w:t>日，区委</w:t>
      </w:r>
      <w:r>
        <w:rPr>
          <w:rFonts w:hint="eastAsia" w:ascii="仿宋_GB2312" w:hAnsi="Calibri" w:cs="Times New Roman"/>
          <w:sz w:val="32"/>
          <w:szCs w:val="32"/>
          <w:lang w:val="en-US" w:eastAsia="zh-CN"/>
        </w:rPr>
        <w:t>主要领导</w:t>
      </w:r>
      <w:r>
        <w:rPr>
          <w:rFonts w:hint="eastAsia" w:ascii="仿宋_GB2312" w:hAnsi="Calibri" w:eastAsia="仿宋_GB2312" w:cs="Times New Roman"/>
          <w:sz w:val="32"/>
          <w:szCs w:val="32"/>
          <w:lang w:val="en-US" w:eastAsia="zh-CN"/>
        </w:rPr>
        <w:t>签批同意印发</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rPr>
        <w:t>三资管理规定</w:t>
      </w:r>
      <w:r>
        <w:rPr>
          <w:rFonts w:hint="eastAsia" w:ascii="仿宋_GB2312" w:hAnsi="仿宋_GB2312" w:cs="仿宋_GB2312"/>
          <w:sz w:val="32"/>
          <w:szCs w:val="32"/>
          <w:lang w:eastAsia="zh-CN"/>
        </w:rPr>
        <w:t>》</w:t>
      </w:r>
      <w:r>
        <w:rPr>
          <w:rFonts w:hint="eastAsia" w:ascii="仿宋_GB2312" w:hAnsi="Calibri"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黑体" w:hAnsi="黑体" w:eastAsia="黑体" w:cs="黑体"/>
          <w:b w:val="0"/>
          <w:bCs w:val="0"/>
          <w:color w:val="000000"/>
          <w:kern w:val="0"/>
          <w:sz w:val="32"/>
          <w:szCs w:val="32"/>
          <w:shd w:val="clear" w:color="auto" w:fill="FFFFFF"/>
        </w:rPr>
      </w:pPr>
      <w:r>
        <w:rPr>
          <w:rFonts w:hint="eastAsia" w:ascii="仿宋_GB2312" w:hAnsi="仿宋_GB2312" w:eastAsia="仿宋_GB2312" w:cs="仿宋_GB2312"/>
          <w:sz w:val="32"/>
          <w:szCs w:val="32"/>
          <w:lang w:val="en-US" w:eastAsia="zh-CN"/>
        </w:rPr>
        <w:t>该规定的出台，既为</w:t>
      </w:r>
      <w:r>
        <w:rPr>
          <w:rFonts w:hint="eastAsia" w:ascii="仿宋_GB2312" w:hAnsi="仿宋_GB2312" w:cs="仿宋_GB2312"/>
          <w:sz w:val="32"/>
          <w:szCs w:val="32"/>
          <w:lang w:val="en-US" w:eastAsia="zh-CN"/>
        </w:rPr>
        <w:t>霞山区</w:t>
      </w:r>
      <w:r>
        <w:rPr>
          <w:rFonts w:hint="eastAsia" w:ascii="仿宋_GB2312" w:hAnsi="仿宋_GB2312" w:eastAsia="仿宋_GB2312" w:cs="仿宋_GB2312"/>
          <w:sz w:val="32"/>
          <w:szCs w:val="32"/>
          <w:lang w:val="en-US" w:eastAsia="zh-CN"/>
        </w:rPr>
        <w:t>农村集体“三资”管理提供了比较完善的政策依据，特别是首次全面启动农村集体“三资”平台交易，有效推动了</w:t>
      </w:r>
      <w:r>
        <w:rPr>
          <w:rFonts w:hint="eastAsia" w:ascii="仿宋_GB2312" w:hAnsi="仿宋_GB2312" w:cs="仿宋_GB2312"/>
          <w:sz w:val="32"/>
          <w:szCs w:val="32"/>
          <w:lang w:val="en-US" w:eastAsia="zh-CN"/>
        </w:rPr>
        <w:t>霞山区</w:t>
      </w:r>
      <w:r>
        <w:rPr>
          <w:rFonts w:hint="eastAsia" w:ascii="仿宋_GB2312" w:hAnsi="仿宋_GB2312" w:eastAsia="仿宋_GB2312" w:cs="仿宋_GB2312"/>
          <w:sz w:val="32"/>
          <w:szCs w:val="32"/>
          <w:lang w:val="en-US" w:eastAsia="zh-CN"/>
        </w:rPr>
        <w:t>农村集体“三资”逐步走上规范化轨道。</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default" w:ascii="黑体" w:hAnsi="黑体" w:eastAsia="黑体" w:cs="黑体"/>
          <w:b w:val="0"/>
          <w:bCs w:val="0"/>
          <w:color w:val="000000"/>
          <w:kern w:val="0"/>
          <w:sz w:val="32"/>
          <w:szCs w:val="32"/>
          <w:shd w:val="clear" w:color="auto" w:fill="FFFFFF"/>
          <w:lang w:val="en-US"/>
        </w:rPr>
      </w:pPr>
      <w:r>
        <w:rPr>
          <w:rFonts w:hint="eastAsia" w:ascii="黑体" w:hAnsi="黑体" w:eastAsia="黑体" w:cs="黑体"/>
          <w:b w:val="0"/>
          <w:bCs w:val="0"/>
          <w:color w:val="000000"/>
          <w:kern w:val="0"/>
          <w:sz w:val="32"/>
          <w:szCs w:val="32"/>
          <w:shd w:val="clear" w:color="auto" w:fill="FFFFFF"/>
          <w:lang w:val="en-US" w:eastAsia="zh-CN"/>
        </w:rPr>
        <w:t>三</w:t>
      </w:r>
      <w:r>
        <w:rPr>
          <w:rFonts w:hint="eastAsia" w:ascii="黑体" w:hAnsi="黑体" w:eastAsia="黑体" w:cs="黑体"/>
          <w:b w:val="0"/>
          <w:bCs w:val="0"/>
          <w:color w:val="000000"/>
          <w:kern w:val="0"/>
          <w:sz w:val="32"/>
          <w:szCs w:val="32"/>
          <w:shd w:val="clear" w:color="auto" w:fill="FFFFFF"/>
        </w:rPr>
        <w:t>、</w:t>
      </w:r>
      <w:r>
        <w:rPr>
          <w:rFonts w:hint="eastAsia" w:ascii="黑体" w:hAnsi="黑体" w:eastAsia="黑体" w:cs="黑体"/>
          <w:b w:val="0"/>
          <w:bCs w:val="0"/>
          <w:color w:val="000000"/>
          <w:kern w:val="0"/>
          <w:sz w:val="32"/>
          <w:szCs w:val="32"/>
          <w:shd w:val="clear" w:color="auto" w:fill="FFFFFF"/>
          <w:lang w:val="en-US" w:eastAsia="zh-CN"/>
        </w:rPr>
        <w:t>基本内容</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（一）政策创新及其依据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Calibri" w:eastAsia="仿宋_GB2312" w:cs="Times New Roman"/>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rPr>
        <w:t>三资管理规定</w:t>
      </w:r>
      <w:r>
        <w:rPr>
          <w:rFonts w:hint="eastAsia" w:ascii="仿宋_GB2312" w:hAnsi="仿宋_GB2312" w:cs="仿宋_GB2312"/>
          <w:sz w:val="32"/>
          <w:szCs w:val="32"/>
          <w:lang w:eastAsia="zh-CN"/>
        </w:rPr>
        <w:t>》</w:t>
      </w:r>
      <w:r>
        <w:rPr>
          <w:rFonts w:hint="eastAsia" w:ascii="仿宋_GB2312" w:hAnsi="Calibri" w:eastAsia="仿宋_GB2312" w:cs="Times New Roman"/>
          <w:sz w:val="32"/>
          <w:szCs w:val="32"/>
          <w:lang w:val="en-US" w:eastAsia="zh-CN"/>
        </w:rPr>
        <w:t>严格对标省、市有关文件精神，立足霞山实际，</w:t>
      </w:r>
      <w:r>
        <w:rPr>
          <w:rFonts w:hint="eastAsia" w:ascii="仿宋_GB2312" w:eastAsia="仿宋_GB2312"/>
          <w:sz w:val="32"/>
          <w:szCs w:val="32"/>
          <w:lang w:val="en-US" w:eastAsia="zh-CN"/>
        </w:rPr>
        <w:t>主要政策依据是</w:t>
      </w:r>
      <w:r>
        <w:rPr>
          <w:rFonts w:hint="eastAsia" w:ascii="仿宋_GB2312" w:hAnsi="Calibri" w:eastAsia="仿宋_GB2312" w:cs="Times New Roman"/>
          <w:sz w:val="32"/>
          <w:szCs w:val="32"/>
          <w:lang w:val="en-US" w:eastAsia="zh-CN"/>
        </w:rPr>
        <w:t>《中共湛江市委办公室 湛江市人民政府办公室关于印发&lt;湛江市农村集体资金资产资源管理暂行规定&gt;和开展全市农村集体“三资”清理工作的通知》（湛办发〔2015〕3号）。</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（二）重要数据指标来源</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rPr>
        <w:t>三资管理规定</w:t>
      </w:r>
      <w:r>
        <w:rPr>
          <w:rFonts w:hint="eastAsia" w:ascii="仿宋_GB2312" w:hAnsi="仿宋_GB2312" w:cs="仿宋_GB2312"/>
          <w:sz w:val="32"/>
          <w:szCs w:val="32"/>
          <w:lang w:eastAsia="zh-CN"/>
        </w:rPr>
        <w:t>》</w:t>
      </w:r>
      <w:r>
        <w:rPr>
          <w:rFonts w:hint="eastAsia" w:ascii="仿宋_GB2312" w:hAnsi="Calibri" w:eastAsia="仿宋_GB2312" w:cs="Times New Roman"/>
          <w:sz w:val="32"/>
          <w:szCs w:val="32"/>
          <w:lang w:val="en-US" w:eastAsia="zh-CN"/>
        </w:rPr>
        <w:t>所涉及指标要求，严格按照省及市的部署要求予以明确。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区</w:t>
      </w:r>
      <w:r>
        <w:rPr>
          <w:rFonts w:hint="eastAsia" w:ascii="仿宋_GB2312" w:hAnsi="仿宋_GB2312" w:eastAsia="仿宋_GB2312" w:cs="仿宋_GB2312"/>
          <w:sz w:val="32"/>
          <w:szCs w:val="32"/>
          <w:lang w:val="en-US" w:eastAsia="zh-CN"/>
        </w:rPr>
        <w:t>三资管理规定》分为九章，依次为总则、资金管理、资产管理、资源管理、交易与处置、信息与档案管理、监督管理、违法违规行为处理、附则，共四十</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lang w:val="en-US" w:eastAsia="zh-CN"/>
        </w:rPr>
        <w:t>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第一章  总则（包括1至9条）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阐述了出台</w:t>
      </w:r>
      <w:r>
        <w:rPr>
          <w:rFonts w:hint="eastAsia" w:ascii="仿宋_GB2312" w:hAnsi="仿宋_GB2312" w:cs="仿宋_GB2312"/>
          <w:kern w:val="2"/>
          <w:sz w:val="32"/>
          <w:szCs w:val="32"/>
          <w:lang w:val="en-US" w:eastAsia="zh-CN" w:bidi="ar-SA"/>
        </w:rPr>
        <w:t>《区</w:t>
      </w:r>
      <w:r>
        <w:rPr>
          <w:rFonts w:hint="eastAsia" w:ascii="仿宋_GB2312" w:hAnsi="仿宋_GB2312" w:eastAsia="仿宋_GB2312" w:cs="仿宋_GB2312"/>
          <w:kern w:val="2"/>
          <w:sz w:val="32"/>
          <w:szCs w:val="32"/>
          <w:lang w:val="en-US" w:eastAsia="zh-CN" w:bidi="ar-SA"/>
        </w:rPr>
        <w:t>三资管理规定</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的意义、适用范围、“三资”定义、清产核资和“三资”平台交易总体要求、“三资”权属主体和法律保护、各级各部门职责。其中：</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第三条明确了资金、资产、资源</w:t>
      </w:r>
      <w:r>
        <w:rPr>
          <w:rFonts w:hint="eastAsia" w:ascii="仿宋_GB2312" w:hAnsi="仿宋_GB2312" w:cs="仿宋_GB2312"/>
          <w:kern w:val="2"/>
          <w:sz w:val="32"/>
          <w:szCs w:val="32"/>
          <w:lang w:val="en-US" w:eastAsia="zh-CN" w:bidi="ar-SA"/>
        </w:rPr>
        <w:t>（以下简称“三资”）的界定：</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资金，是指农村集体所有的货币资金，包括现金、银行存款、有价证券等。</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资产，是指农村集体所有的固定资产、在建工程、投资资产、农业资产、存货及无形资产、建设用地等。</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资源，是指法律规定属于农村集体所有的资源，包括耕地、林地、园地、草场、荒山、荒地、荒坡、荒滩、水面（不包括海域水面）等</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第五条明确了农村集体“三资”交易要求：</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一是建立农村集体“三资”信息化管理服务平台；二是资产、资源的经营、发包、租赁、处置等，实行公开招标。</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第七条明确农村集体“三资”受法律保护：</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农村集体“三资”禁止任何组织和个人侵占、截留、挪用、哄抢、私分、破坏或者非法查封、扣押、冻结。村委会级集体经济组织不得平调和侵占村民小组级集体经济组织的“三资”。</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第八</w:t>
      </w:r>
      <w:r>
        <w:rPr>
          <w:rFonts w:hint="eastAsia" w:ascii="仿宋_GB2312" w:hAnsi="仿宋_GB2312" w:cs="仿宋_GB2312"/>
          <w:kern w:val="2"/>
          <w:sz w:val="32"/>
          <w:szCs w:val="32"/>
          <w:lang w:val="en-US" w:eastAsia="zh-CN" w:bidi="ar-SA"/>
        </w:rPr>
        <w:t>条和</w:t>
      </w:r>
      <w:r>
        <w:rPr>
          <w:rFonts w:hint="eastAsia" w:ascii="仿宋_GB2312" w:hAnsi="仿宋_GB2312" w:eastAsia="仿宋_GB2312" w:cs="仿宋_GB2312"/>
          <w:kern w:val="2"/>
          <w:sz w:val="32"/>
          <w:szCs w:val="32"/>
          <w:lang w:val="en-US" w:eastAsia="zh-CN" w:bidi="ar-SA"/>
        </w:rPr>
        <w:t>第九条明确了各部门职责：</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农业部门负责农村集体“三资”管理日常工作的指导、 培训和监督，制定管理监督措施，完善规范工作程序，加强经济合同管理。</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财政部门负责农村集体“三资”管理的财务监督工作， 指导街道开展农村集体“三资”管理的审计工作，指导督促基层组织完善农村集体资产台账和资产登记。</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民政部门负责指导农村集体“三资”管理的公开、公示工作，完善公开、公示办法。</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纪委监委、自然资源、审计、档案等部门也要按照职责分工，依法配合做好农村集体“三资”管理的指导和监督工作。</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第二章  资金管理（包括10至17条）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第十二条明确农村集体财务和资金由村民委员会(经济联合社) 、村民小组 ( 经济合作社 ) 委托区财务管理中心代理。</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第十四条明确农村集体资金开支实行“四笔会签”和报帐制制度：</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项日常开支须由经办人、证明人、审批人、民主理财监督成员签章，大额支出还应经农村集体成员会议或成员代表会议审议通过。村集体按规定应配备专职或兼职的村级报账员，发生财务的村每月至少报账一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第十五条明确实行备用金</w:t>
      </w:r>
      <w:r>
        <w:rPr>
          <w:rFonts w:hint="eastAsia" w:ascii="仿宋_GB2312" w:hAnsi="仿宋_GB2312" w:cs="仿宋_GB2312"/>
          <w:kern w:val="2"/>
          <w:sz w:val="32"/>
          <w:szCs w:val="32"/>
          <w:lang w:val="en-US" w:eastAsia="zh-CN" w:bidi="ar-SA"/>
        </w:rPr>
        <w:t>管理</w:t>
      </w:r>
      <w:r>
        <w:rPr>
          <w:rFonts w:hint="eastAsia" w:ascii="仿宋_GB2312" w:hAnsi="仿宋_GB2312" w:eastAsia="仿宋_GB2312" w:cs="仿宋_GB2312"/>
          <w:kern w:val="2"/>
          <w:sz w:val="32"/>
          <w:szCs w:val="32"/>
          <w:lang w:val="en-US" w:eastAsia="zh-CN" w:bidi="ar-SA"/>
        </w:rPr>
        <w:t>制度</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原则上不超过 1 万元，并报区财务管理中心核准后备案，一经确定不能随便调整</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第三章  资产管理（包括18至25条）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第十九条明确农村集体资产管理由农村集体经济组织按资产的类别建立资产台账，及时记录资产增减变动情况。</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第二十条明确农村集体工程管理制度</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农村集体建设工程项目，应经本村集体成员会议或成员代表会议讨论决定。由外单位或个人施工的，实行公开招投标并落实专人监管。工程完工后，依照合同严格组织验收。验收通过后方可进行结转固定资产账务处理。</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第二十二条和第二十三条明确了农村集体资产评估要求。评估结果应按权属关系经本村集体成员大会、集体成员代表会议或党群联席会议确认</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第二十四条明确了农村集体资产交易应制定交易方案</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集体资产实行租赁、承包或出让的，应制定相关方案，明确资产的名称、数量、用途，承包、租赁、出让的条件及其价格，经本村集体成员会议或成员代表会议决定后，采取招标投标或竞价拍卖的方式进行，并签订书面合同。</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第四章  资源管理（包括26至28条）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第二十六条明确农村集体资源应建立资源登记簿制度</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对集体所有的资源</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包括：资源的名称、类别、坐落、四至、面积等逐项记录。</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第二十八条明确农村集体建设用地收益分配要求</w:t>
      </w:r>
      <w:r>
        <w:rPr>
          <w:rFonts w:hint="eastAsia" w:ascii="仿宋_GB2312" w:hAnsi="仿宋_GB2312" w:cs="仿宋_GB2312"/>
          <w:kern w:val="2"/>
          <w:sz w:val="32"/>
          <w:szCs w:val="32"/>
          <w:lang w:val="en-US" w:eastAsia="zh-CN" w:bidi="ar-SA"/>
        </w:rPr>
        <w:t>，即</w:t>
      </w:r>
      <w:r>
        <w:rPr>
          <w:rFonts w:hint="eastAsia" w:ascii="仿宋_GB2312" w:hAnsi="仿宋_GB2312" w:eastAsia="仿宋_GB2312" w:cs="仿宋_GB2312"/>
          <w:kern w:val="2"/>
          <w:sz w:val="32"/>
          <w:szCs w:val="32"/>
          <w:lang w:val="en-US" w:eastAsia="zh-CN" w:bidi="ar-SA"/>
        </w:rPr>
        <w:t>收益归村集体所有，主要用于发展集体生产经营、兴办公益事业等，其分配方案应经本村集体成员会议或成员代表会议讨论通过，并报街道备案及作为报账原始凭证。</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第五章  交易与处置（包括29至32条）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第二十九条明确农村集体资产资源交易要求</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集体资产、资源交易和处置实行招标代理制，委托</w:t>
      </w:r>
      <w:r>
        <w:rPr>
          <w:rFonts w:hint="eastAsia" w:ascii="仿宋_GB2312" w:hAnsi="仿宋_GB2312" w:cs="仿宋_GB2312"/>
          <w:kern w:val="2"/>
          <w:sz w:val="32"/>
          <w:szCs w:val="32"/>
          <w:lang w:val="en-US" w:eastAsia="zh-CN" w:bidi="ar-SA"/>
        </w:rPr>
        <w:t>区</w:t>
      </w:r>
      <w:r>
        <w:rPr>
          <w:rFonts w:hint="eastAsia" w:ascii="仿宋_GB2312" w:hAnsi="仿宋_GB2312" w:eastAsia="仿宋_GB2312" w:cs="仿宋_GB2312"/>
          <w:kern w:val="2"/>
          <w:sz w:val="32"/>
          <w:szCs w:val="32"/>
          <w:lang w:val="en-US" w:eastAsia="zh-CN" w:bidi="ar-SA"/>
        </w:rPr>
        <w:t>农村集体资产资源交易服务中心进行统一管理和交易。</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第三十条明确区农村集体资产资源交易中心对农村集体资产、资源交易提供交易前的资格审核、交易信息发布、组织交易和交易结果档案管理等</w:t>
      </w:r>
      <w:r>
        <w:rPr>
          <w:rFonts w:hint="eastAsia" w:ascii="仿宋_GB2312" w:hAnsi="仿宋_GB2312"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服务内容。</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第三十一条明确农村集体资产资源交易分为达到交易标的和未达到交易标的两种形式：</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达到交易标的的，应纳入服务交易中心进行交易。未达到交易标的要求的，按《广东省农村集体资产管理条例》及联合社（合作社）章程等有关规定执行，由各街道根据实际参照本暂行规定自行制定交易方案，报区农业农村局、区民政局、区财务管理中心备案。</w:t>
      </w:r>
      <w:r>
        <w:rPr>
          <w:rFonts w:hint="eastAsia" w:ascii="仿宋_GB2312" w:hAnsi="仿宋_GB2312" w:cs="仿宋_GB2312"/>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第六章  信息与档案管理（包括33至35条）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第三十三条明确农村集体及街道应建立健全农村集体“三资”档案管理制度，规范档案的立卷、归档、保管、查阅等行为。</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第七章  监督管理（包括36至40条）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第三十六条明确农村集体民主议事制度</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第三十七条明确农村集体“三资”管理监督机制</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第三十八条明确农村集体“三资”管理公开制度</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第四十条明确农村集体“三资”管理审计制度</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第八章  违规行为处理（包括41至42条）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第四十一条明确农村集体违规行为处理机制</w:t>
      </w:r>
      <w:r>
        <w:rPr>
          <w:rFonts w:hint="eastAsia" w:ascii="仿宋_GB2312" w:hAnsi="仿宋_GB2312" w:cs="仿宋_GB2312"/>
          <w:kern w:val="2"/>
          <w:sz w:val="32"/>
          <w:szCs w:val="32"/>
          <w:lang w:val="en-US" w:eastAsia="zh-CN" w:bidi="ar-SA"/>
        </w:rPr>
        <w:t>。对存在违规</w:t>
      </w:r>
      <w:r>
        <w:rPr>
          <w:rFonts w:hint="eastAsia" w:ascii="仿宋_GB2312" w:hAnsi="仿宋_GB2312" w:eastAsia="仿宋_GB2312" w:cs="仿宋_GB2312"/>
          <w:kern w:val="2"/>
          <w:sz w:val="32"/>
          <w:szCs w:val="32"/>
          <w:lang w:val="en-US" w:eastAsia="zh-CN" w:bidi="ar-SA"/>
        </w:rPr>
        <w:t>行为的，由区纪检监察机关等相关部门责令限期改正；造成经济损失的，责令赔偿；视情节轻重，对直接责任人员给予党纪、政纪处分；构成犯罪的，依法追究相关责任人的刑事责任。</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第四十二条明确有关部门违规行为处理机制</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农村集体“三资”监管人员滥用职权、徇私舞弊、玩忽职守，造成集体资金、资产、资源损失的，依法承担民事责任；情节严重的，由区纪检监察机关等相关部门对责任人给予党纪、政纪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第九章  附则（包括43至46条）</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24.第四十三条</w:t>
      </w:r>
      <w:r>
        <w:rPr>
          <w:rFonts w:hint="eastAsia" w:ascii="仿宋_GB2312" w:hAnsi="仿宋_GB2312" w:eastAsia="仿宋_GB2312" w:cs="仿宋_GB2312"/>
          <w:kern w:val="2"/>
          <w:sz w:val="32"/>
          <w:szCs w:val="32"/>
          <w:lang w:val="en-US" w:eastAsia="zh-CN" w:bidi="ar-SA"/>
        </w:rPr>
        <w:t>明确了社区农村集体“三资”管理要求</w:t>
      </w:r>
      <w:r>
        <w:rPr>
          <w:rFonts w:hint="eastAsia" w:ascii="仿宋_GB2312" w:hAnsi="仿宋_GB2312" w:cs="仿宋_GB2312"/>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25.第四十四条明确了《区三资管理规定》规定外的特殊事项可由区政府组织以一事一议的方法研究审定。</w:t>
      </w:r>
    </w:p>
    <w:p>
      <w:pPr>
        <w:keepNext w:val="0"/>
        <w:keepLines w:val="0"/>
        <w:pageBreakBefore w:val="0"/>
        <w:widowControl/>
        <w:kinsoku/>
        <w:wordWrap/>
        <w:overflowPunct/>
        <w:topLinePunct w:val="0"/>
        <w:autoSpaceDE/>
        <w:autoSpaceDN/>
        <w:bidi w:val="0"/>
        <w:adjustRightInd/>
        <w:snapToGrid/>
        <w:spacing w:line="560" w:lineRule="exact"/>
        <w:ind w:firstLine="602" w:firstLineChars="200"/>
        <w:textAlignment w:val="auto"/>
        <w:rPr>
          <w:rFonts w:hint="eastAsia"/>
          <w:sz w:val="32"/>
          <w:szCs w:val="32"/>
          <w:lang w:val="en-US" w:eastAsia="zh-CN"/>
        </w:rPr>
      </w:pPr>
      <w:r>
        <w:rPr>
          <w:rFonts w:hint="eastAsia" w:ascii="仿宋_GB2312" w:hAnsi="仿宋_GB2312" w:cs="仿宋_GB2312"/>
          <w:kern w:val="2"/>
          <w:sz w:val="32"/>
          <w:szCs w:val="32"/>
          <w:lang w:val="en-US" w:eastAsia="zh-CN" w:bidi="ar-SA"/>
        </w:rPr>
        <w:t>26.第四十五条和四十六条明确了《区三资管理规定》</w:t>
      </w:r>
      <w:r>
        <w:rPr>
          <w:rFonts w:hint="eastAsia" w:ascii="仿宋_GB2312" w:hAnsi="仿宋_GB2312" w:eastAsia="仿宋_GB2312" w:cs="仿宋_GB2312"/>
          <w:kern w:val="2"/>
          <w:sz w:val="32"/>
          <w:szCs w:val="32"/>
          <w:lang w:val="en-US" w:eastAsia="zh-CN" w:bidi="ar-SA"/>
        </w:rPr>
        <w:t>的解释权、施行日期等。</w:t>
      </w:r>
    </w:p>
    <w:sectPr>
      <w:footerReference r:id="rId5" w:type="first"/>
      <w:footerReference r:id="rId3" w:type="default"/>
      <w:footerReference r:id="rId4" w:type="even"/>
      <w:pgSz w:w="11906" w:h="16838"/>
      <w:pgMar w:top="2098" w:right="1474" w:bottom="1985" w:left="1588" w:header="851" w:footer="1588" w:gutter="0"/>
      <w:pgNumType w:fmt="numberInDash"/>
      <w:cols w:space="720" w:num="1"/>
      <w:docGrid w:type="linesAndChars" w:linePitch="579" w:charSpace="-409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1210"/>
      </w:tabs>
      <w:wordWrap w:val="0"/>
      <w:ind w:right="360" w:firstLine="360"/>
      <w:rPr>
        <w:rFonts w:hint="eastAsia"/>
      </w:rPr>
    </w:pPr>
    <w:r>
      <w:fldChar w:fldCharType="begin"/>
    </w:r>
    <w:r>
      <w:rPr>
        <w:rStyle w:val="16"/>
      </w:rPr>
      <w:instrText xml:space="preserve"> PAGE </w:instrText>
    </w:r>
    <w:r>
      <w:fldChar w:fldCharType="separate"/>
    </w:r>
    <w:r>
      <w:rPr>
        <w:rStyle w:val="16"/>
      </w:rPr>
      <w:t>- 1 -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rPr>
        <w:rStyle w:val="16"/>
        <w:rFonts w:hint="eastAsia"/>
      </w:rPr>
      <w:t xml:space="preserve"> </w:t>
    </w:r>
    <w:r>
      <w:fldChar w:fldCharType="begin"/>
    </w:r>
    <w:r>
      <w:rPr>
        <w:rStyle w:val="16"/>
      </w:rPr>
      <w:instrText xml:space="preserve">PAGE  </w:instrText>
    </w:r>
    <w:r>
      <w:fldChar w:fldCharType="separate"/>
    </w:r>
    <w:r>
      <w:rPr>
        <w:rStyle w:val="16"/>
      </w:rPr>
      <w:t>- 2 -</w: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6"/>
      </w:rPr>
      <w:instrText xml:space="preserve"> PAGE </w:instrText>
    </w:r>
    <w:r>
      <w:fldChar w:fldCharType="separate"/>
    </w:r>
    <w:r>
      <w:rPr>
        <w:rStyle w:val="16"/>
      </w:rPr>
      <w:t>- 1 -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40"/>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2NGEyMTE1MzU0NzhjZDBhNGQyMjZjNTQxNmI2ZDgifQ=="/>
  </w:docVars>
  <w:rsids>
    <w:rsidRoot w:val="00F80CBC"/>
    <w:rsid w:val="00011E65"/>
    <w:rsid w:val="00026B3C"/>
    <w:rsid w:val="00033D4B"/>
    <w:rsid w:val="000367B9"/>
    <w:rsid w:val="00060E62"/>
    <w:rsid w:val="00060F95"/>
    <w:rsid w:val="0006563D"/>
    <w:rsid w:val="00071C99"/>
    <w:rsid w:val="00074B2B"/>
    <w:rsid w:val="00077568"/>
    <w:rsid w:val="000826C1"/>
    <w:rsid w:val="00094B68"/>
    <w:rsid w:val="000A4EEF"/>
    <w:rsid w:val="000A7257"/>
    <w:rsid w:val="000B25A0"/>
    <w:rsid w:val="000B2BF8"/>
    <w:rsid w:val="000B4C3F"/>
    <w:rsid w:val="000B5306"/>
    <w:rsid w:val="000C2047"/>
    <w:rsid w:val="000C5397"/>
    <w:rsid w:val="000D18FB"/>
    <w:rsid w:val="000D3A0F"/>
    <w:rsid w:val="000E1E57"/>
    <w:rsid w:val="0010496C"/>
    <w:rsid w:val="00105A41"/>
    <w:rsid w:val="00111F65"/>
    <w:rsid w:val="00116D63"/>
    <w:rsid w:val="0012377D"/>
    <w:rsid w:val="00156138"/>
    <w:rsid w:val="00156A2B"/>
    <w:rsid w:val="0016114E"/>
    <w:rsid w:val="00165AA1"/>
    <w:rsid w:val="00167479"/>
    <w:rsid w:val="00183A8B"/>
    <w:rsid w:val="001951C5"/>
    <w:rsid w:val="001A3476"/>
    <w:rsid w:val="001B5B88"/>
    <w:rsid w:val="001B68A5"/>
    <w:rsid w:val="001D6136"/>
    <w:rsid w:val="001E7FD5"/>
    <w:rsid w:val="001F288A"/>
    <w:rsid w:val="00202EB8"/>
    <w:rsid w:val="00222DE3"/>
    <w:rsid w:val="002235E5"/>
    <w:rsid w:val="00224FE2"/>
    <w:rsid w:val="00225BBB"/>
    <w:rsid w:val="00226580"/>
    <w:rsid w:val="0025264F"/>
    <w:rsid w:val="00260446"/>
    <w:rsid w:val="002667B1"/>
    <w:rsid w:val="0028453A"/>
    <w:rsid w:val="002863B8"/>
    <w:rsid w:val="0028791C"/>
    <w:rsid w:val="002A1FDD"/>
    <w:rsid w:val="002A293C"/>
    <w:rsid w:val="002B6FE7"/>
    <w:rsid w:val="002B77E7"/>
    <w:rsid w:val="002C10C6"/>
    <w:rsid w:val="002C6964"/>
    <w:rsid w:val="002D2DE4"/>
    <w:rsid w:val="002D4F2B"/>
    <w:rsid w:val="002E3466"/>
    <w:rsid w:val="002E4212"/>
    <w:rsid w:val="002F4A34"/>
    <w:rsid w:val="00305E00"/>
    <w:rsid w:val="003069B7"/>
    <w:rsid w:val="00347015"/>
    <w:rsid w:val="00355CCA"/>
    <w:rsid w:val="00362CF7"/>
    <w:rsid w:val="003674A6"/>
    <w:rsid w:val="003702C8"/>
    <w:rsid w:val="0037647A"/>
    <w:rsid w:val="00377618"/>
    <w:rsid w:val="00387753"/>
    <w:rsid w:val="0039311B"/>
    <w:rsid w:val="00394693"/>
    <w:rsid w:val="003A2188"/>
    <w:rsid w:val="003A2280"/>
    <w:rsid w:val="003A2371"/>
    <w:rsid w:val="003B48A4"/>
    <w:rsid w:val="003B7361"/>
    <w:rsid w:val="003D27ED"/>
    <w:rsid w:val="003D731B"/>
    <w:rsid w:val="003D7819"/>
    <w:rsid w:val="003E651A"/>
    <w:rsid w:val="003E7248"/>
    <w:rsid w:val="00405370"/>
    <w:rsid w:val="00410FC8"/>
    <w:rsid w:val="00412A48"/>
    <w:rsid w:val="00420D6C"/>
    <w:rsid w:val="0043251F"/>
    <w:rsid w:val="00440E93"/>
    <w:rsid w:val="00447ECB"/>
    <w:rsid w:val="00454411"/>
    <w:rsid w:val="00455B45"/>
    <w:rsid w:val="00456ADC"/>
    <w:rsid w:val="00470697"/>
    <w:rsid w:val="00473B3B"/>
    <w:rsid w:val="0048136E"/>
    <w:rsid w:val="00482C63"/>
    <w:rsid w:val="00485173"/>
    <w:rsid w:val="004877F0"/>
    <w:rsid w:val="00497DA9"/>
    <w:rsid w:val="004A2015"/>
    <w:rsid w:val="004D64E9"/>
    <w:rsid w:val="004E0E46"/>
    <w:rsid w:val="004E223C"/>
    <w:rsid w:val="004E281A"/>
    <w:rsid w:val="00503B1B"/>
    <w:rsid w:val="00507442"/>
    <w:rsid w:val="00512EBB"/>
    <w:rsid w:val="00512F14"/>
    <w:rsid w:val="005247D3"/>
    <w:rsid w:val="005343A2"/>
    <w:rsid w:val="0053672A"/>
    <w:rsid w:val="00541C81"/>
    <w:rsid w:val="005425E2"/>
    <w:rsid w:val="00551AB7"/>
    <w:rsid w:val="00552E59"/>
    <w:rsid w:val="00571B57"/>
    <w:rsid w:val="00576D97"/>
    <w:rsid w:val="00583D3A"/>
    <w:rsid w:val="005918C3"/>
    <w:rsid w:val="0059195E"/>
    <w:rsid w:val="00591C80"/>
    <w:rsid w:val="005A2545"/>
    <w:rsid w:val="005B4105"/>
    <w:rsid w:val="005D03A1"/>
    <w:rsid w:val="005D7F6A"/>
    <w:rsid w:val="005E0558"/>
    <w:rsid w:val="005E18F7"/>
    <w:rsid w:val="005E7666"/>
    <w:rsid w:val="005F58FA"/>
    <w:rsid w:val="006028A3"/>
    <w:rsid w:val="00614CEC"/>
    <w:rsid w:val="00615553"/>
    <w:rsid w:val="00621A05"/>
    <w:rsid w:val="00621F4B"/>
    <w:rsid w:val="006245D0"/>
    <w:rsid w:val="00625500"/>
    <w:rsid w:val="0065082A"/>
    <w:rsid w:val="00652B88"/>
    <w:rsid w:val="0066711A"/>
    <w:rsid w:val="00676FF0"/>
    <w:rsid w:val="0067722B"/>
    <w:rsid w:val="00681898"/>
    <w:rsid w:val="0069321A"/>
    <w:rsid w:val="006A0A5C"/>
    <w:rsid w:val="006A4598"/>
    <w:rsid w:val="006A4CBA"/>
    <w:rsid w:val="006C0308"/>
    <w:rsid w:val="006C4149"/>
    <w:rsid w:val="006D45FF"/>
    <w:rsid w:val="006E0694"/>
    <w:rsid w:val="006E1F41"/>
    <w:rsid w:val="006E63B8"/>
    <w:rsid w:val="0070473B"/>
    <w:rsid w:val="007077EA"/>
    <w:rsid w:val="00713498"/>
    <w:rsid w:val="007221A0"/>
    <w:rsid w:val="00726A52"/>
    <w:rsid w:val="007400AB"/>
    <w:rsid w:val="00743B8C"/>
    <w:rsid w:val="007441E0"/>
    <w:rsid w:val="007466A5"/>
    <w:rsid w:val="00750F6E"/>
    <w:rsid w:val="00762ED4"/>
    <w:rsid w:val="007653F4"/>
    <w:rsid w:val="00767C91"/>
    <w:rsid w:val="0077223D"/>
    <w:rsid w:val="00782D69"/>
    <w:rsid w:val="00783231"/>
    <w:rsid w:val="007A2E4B"/>
    <w:rsid w:val="007B4D0D"/>
    <w:rsid w:val="007B7674"/>
    <w:rsid w:val="007D3716"/>
    <w:rsid w:val="007D587A"/>
    <w:rsid w:val="007E7297"/>
    <w:rsid w:val="007F345A"/>
    <w:rsid w:val="00811036"/>
    <w:rsid w:val="00826505"/>
    <w:rsid w:val="008370F4"/>
    <w:rsid w:val="00837599"/>
    <w:rsid w:val="00837695"/>
    <w:rsid w:val="0083782C"/>
    <w:rsid w:val="00837D61"/>
    <w:rsid w:val="0084714D"/>
    <w:rsid w:val="00850ACC"/>
    <w:rsid w:val="0085452E"/>
    <w:rsid w:val="00854D9B"/>
    <w:rsid w:val="00861C0C"/>
    <w:rsid w:val="00863D6F"/>
    <w:rsid w:val="00875D4C"/>
    <w:rsid w:val="008C0E12"/>
    <w:rsid w:val="008C5C32"/>
    <w:rsid w:val="008C6E56"/>
    <w:rsid w:val="008D1D00"/>
    <w:rsid w:val="008D2163"/>
    <w:rsid w:val="008D2E9D"/>
    <w:rsid w:val="008D6F79"/>
    <w:rsid w:val="008E3492"/>
    <w:rsid w:val="008E6790"/>
    <w:rsid w:val="008F36DA"/>
    <w:rsid w:val="009056A7"/>
    <w:rsid w:val="00910672"/>
    <w:rsid w:val="00917EB4"/>
    <w:rsid w:val="00920347"/>
    <w:rsid w:val="0093000A"/>
    <w:rsid w:val="00934C7F"/>
    <w:rsid w:val="00947691"/>
    <w:rsid w:val="00954869"/>
    <w:rsid w:val="00957C62"/>
    <w:rsid w:val="009742A5"/>
    <w:rsid w:val="00982F7B"/>
    <w:rsid w:val="009A08AC"/>
    <w:rsid w:val="009B0B3B"/>
    <w:rsid w:val="009B13A2"/>
    <w:rsid w:val="009B2D0D"/>
    <w:rsid w:val="009C160C"/>
    <w:rsid w:val="009C3062"/>
    <w:rsid w:val="009D42EF"/>
    <w:rsid w:val="009D6333"/>
    <w:rsid w:val="009E5E01"/>
    <w:rsid w:val="009E7CC4"/>
    <w:rsid w:val="009F050A"/>
    <w:rsid w:val="009F315D"/>
    <w:rsid w:val="00A04B19"/>
    <w:rsid w:val="00A07478"/>
    <w:rsid w:val="00A12687"/>
    <w:rsid w:val="00A213BF"/>
    <w:rsid w:val="00A22F09"/>
    <w:rsid w:val="00A32E56"/>
    <w:rsid w:val="00A52FF1"/>
    <w:rsid w:val="00A55314"/>
    <w:rsid w:val="00A56631"/>
    <w:rsid w:val="00A6009C"/>
    <w:rsid w:val="00A669A3"/>
    <w:rsid w:val="00A7141F"/>
    <w:rsid w:val="00A82311"/>
    <w:rsid w:val="00A85191"/>
    <w:rsid w:val="00AA0CD8"/>
    <w:rsid w:val="00AB7ACB"/>
    <w:rsid w:val="00AD2986"/>
    <w:rsid w:val="00AE1DD4"/>
    <w:rsid w:val="00AE6620"/>
    <w:rsid w:val="00B064CE"/>
    <w:rsid w:val="00B20803"/>
    <w:rsid w:val="00B236EA"/>
    <w:rsid w:val="00B2408D"/>
    <w:rsid w:val="00B36BA3"/>
    <w:rsid w:val="00B3714B"/>
    <w:rsid w:val="00B37D3C"/>
    <w:rsid w:val="00B4149F"/>
    <w:rsid w:val="00B5005B"/>
    <w:rsid w:val="00B51943"/>
    <w:rsid w:val="00B549CC"/>
    <w:rsid w:val="00B57CB5"/>
    <w:rsid w:val="00B62F8C"/>
    <w:rsid w:val="00B8031B"/>
    <w:rsid w:val="00B873B1"/>
    <w:rsid w:val="00B91294"/>
    <w:rsid w:val="00B95AF9"/>
    <w:rsid w:val="00BA2010"/>
    <w:rsid w:val="00BA5479"/>
    <w:rsid w:val="00BC0B74"/>
    <w:rsid w:val="00BC10A1"/>
    <w:rsid w:val="00BD29ED"/>
    <w:rsid w:val="00C02C18"/>
    <w:rsid w:val="00C20B1A"/>
    <w:rsid w:val="00C23BAA"/>
    <w:rsid w:val="00C27531"/>
    <w:rsid w:val="00C42597"/>
    <w:rsid w:val="00C44735"/>
    <w:rsid w:val="00C80FA2"/>
    <w:rsid w:val="00C862D0"/>
    <w:rsid w:val="00CA74BA"/>
    <w:rsid w:val="00CB5A36"/>
    <w:rsid w:val="00CB75E5"/>
    <w:rsid w:val="00CB784A"/>
    <w:rsid w:val="00CE1A7D"/>
    <w:rsid w:val="00CE1E83"/>
    <w:rsid w:val="00CE74FA"/>
    <w:rsid w:val="00CF0291"/>
    <w:rsid w:val="00D0042F"/>
    <w:rsid w:val="00D10BBC"/>
    <w:rsid w:val="00D234AE"/>
    <w:rsid w:val="00D317E8"/>
    <w:rsid w:val="00D60D7E"/>
    <w:rsid w:val="00D6155D"/>
    <w:rsid w:val="00D650F0"/>
    <w:rsid w:val="00D81F89"/>
    <w:rsid w:val="00D9186D"/>
    <w:rsid w:val="00D93FF4"/>
    <w:rsid w:val="00DB3BAE"/>
    <w:rsid w:val="00DB4D6E"/>
    <w:rsid w:val="00DD5231"/>
    <w:rsid w:val="00DE0FE2"/>
    <w:rsid w:val="00DE40EB"/>
    <w:rsid w:val="00E01B1A"/>
    <w:rsid w:val="00E10222"/>
    <w:rsid w:val="00E160B5"/>
    <w:rsid w:val="00E35A73"/>
    <w:rsid w:val="00E42BC1"/>
    <w:rsid w:val="00E9561F"/>
    <w:rsid w:val="00EA09CF"/>
    <w:rsid w:val="00EB07CC"/>
    <w:rsid w:val="00EB5C15"/>
    <w:rsid w:val="00EB672A"/>
    <w:rsid w:val="00EC4576"/>
    <w:rsid w:val="00ED26B6"/>
    <w:rsid w:val="00ED5973"/>
    <w:rsid w:val="00EE228F"/>
    <w:rsid w:val="00EF3259"/>
    <w:rsid w:val="00F13F52"/>
    <w:rsid w:val="00F14263"/>
    <w:rsid w:val="00F20916"/>
    <w:rsid w:val="00F32AAE"/>
    <w:rsid w:val="00F40D23"/>
    <w:rsid w:val="00F426C9"/>
    <w:rsid w:val="00F65050"/>
    <w:rsid w:val="00F67597"/>
    <w:rsid w:val="00F70C39"/>
    <w:rsid w:val="00F710A9"/>
    <w:rsid w:val="00F80B51"/>
    <w:rsid w:val="00F80CBC"/>
    <w:rsid w:val="00F8537C"/>
    <w:rsid w:val="00FC0020"/>
    <w:rsid w:val="00FC148C"/>
    <w:rsid w:val="00FC3812"/>
    <w:rsid w:val="00FC6170"/>
    <w:rsid w:val="00FD492A"/>
    <w:rsid w:val="00FE20E8"/>
    <w:rsid w:val="00FE29A8"/>
    <w:rsid w:val="00FF4996"/>
    <w:rsid w:val="014A7895"/>
    <w:rsid w:val="04751608"/>
    <w:rsid w:val="04996FD8"/>
    <w:rsid w:val="05FC00CA"/>
    <w:rsid w:val="085F423C"/>
    <w:rsid w:val="0BBE0EF3"/>
    <w:rsid w:val="0F575762"/>
    <w:rsid w:val="102B642A"/>
    <w:rsid w:val="10325143"/>
    <w:rsid w:val="114E421F"/>
    <w:rsid w:val="12D3084B"/>
    <w:rsid w:val="14894E2D"/>
    <w:rsid w:val="15F21A42"/>
    <w:rsid w:val="1B223C63"/>
    <w:rsid w:val="1B305405"/>
    <w:rsid w:val="1DB3643C"/>
    <w:rsid w:val="21B00D0E"/>
    <w:rsid w:val="21E14C3C"/>
    <w:rsid w:val="22327245"/>
    <w:rsid w:val="225F2D39"/>
    <w:rsid w:val="22BB146C"/>
    <w:rsid w:val="23455826"/>
    <w:rsid w:val="25B05562"/>
    <w:rsid w:val="25D35E8D"/>
    <w:rsid w:val="282065FB"/>
    <w:rsid w:val="28D15A0A"/>
    <w:rsid w:val="2B064FBE"/>
    <w:rsid w:val="2DCE6162"/>
    <w:rsid w:val="31A01BFA"/>
    <w:rsid w:val="32F038D1"/>
    <w:rsid w:val="34367069"/>
    <w:rsid w:val="3C4B3A70"/>
    <w:rsid w:val="3C787FD7"/>
    <w:rsid w:val="3CCE36E2"/>
    <w:rsid w:val="3D6976A7"/>
    <w:rsid w:val="3DBB61E6"/>
    <w:rsid w:val="3FEC444B"/>
    <w:rsid w:val="421576B4"/>
    <w:rsid w:val="43296BC2"/>
    <w:rsid w:val="47625D83"/>
    <w:rsid w:val="49C30E5C"/>
    <w:rsid w:val="49F34533"/>
    <w:rsid w:val="51EE3CD5"/>
    <w:rsid w:val="54D82DAF"/>
    <w:rsid w:val="568A5206"/>
    <w:rsid w:val="5874114A"/>
    <w:rsid w:val="58D567A5"/>
    <w:rsid w:val="598A1326"/>
    <w:rsid w:val="5A1C7C39"/>
    <w:rsid w:val="5B400C61"/>
    <w:rsid w:val="62805E0B"/>
    <w:rsid w:val="65961F0C"/>
    <w:rsid w:val="671B093D"/>
    <w:rsid w:val="680C2AE9"/>
    <w:rsid w:val="69D13C2E"/>
    <w:rsid w:val="6A085A84"/>
    <w:rsid w:val="6A946B64"/>
    <w:rsid w:val="6B08606A"/>
    <w:rsid w:val="6CA16A6E"/>
    <w:rsid w:val="6DB85C2F"/>
    <w:rsid w:val="6E943E0C"/>
    <w:rsid w:val="74672994"/>
    <w:rsid w:val="74E90FB2"/>
    <w:rsid w:val="763021B9"/>
    <w:rsid w:val="766A39BF"/>
    <w:rsid w:val="772C735C"/>
    <w:rsid w:val="798B6F10"/>
    <w:rsid w:val="7A8F1A83"/>
    <w:rsid w:val="7BCB7664"/>
    <w:rsid w:val="7C070929"/>
    <w:rsid w:val="7F22628A"/>
    <w:rsid w:val="7F370F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2"/>
    <w:next w:val="1"/>
    <w:qFormat/>
    <w:uiPriority w:val="0"/>
    <w:pPr>
      <w:keepNext/>
      <w:keepLines/>
      <w:autoSpaceDE w:val="0"/>
      <w:autoSpaceDN w:val="0"/>
      <w:jc w:val="distribute"/>
      <w:outlineLvl w:val="1"/>
    </w:pPr>
    <w:rPr>
      <w:rFonts w:ascii="Times New Roman" w:hAnsi="Times New Roman" w:eastAsia="华康简标题宋" w:cs="Times New Roman"/>
      <w:bCs/>
      <w:color w:val="FF0000"/>
      <w:w w:val="70"/>
      <w:sz w:val="112"/>
      <w:szCs w:val="3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0"/>
    <w:pPr>
      <w:ind w:right="-35" w:rightChars="-12"/>
    </w:pPr>
    <w:rPr>
      <w:sz w:val="31"/>
    </w:rPr>
  </w:style>
  <w:style w:type="paragraph" w:styleId="6">
    <w:name w:val="Body Text Indent"/>
    <w:basedOn w:val="1"/>
    <w:qFormat/>
    <w:uiPriority w:val="0"/>
    <w:pPr>
      <w:topLinePunct/>
      <w:autoSpaceDE w:val="0"/>
      <w:autoSpaceDN w:val="0"/>
      <w:spacing w:line="600" w:lineRule="atLeast"/>
      <w:ind w:firstLine="615"/>
    </w:pPr>
    <w:rPr>
      <w:rFonts w:ascii="仿宋_GB2312"/>
      <w:sz w:val="31"/>
    </w:rPr>
  </w:style>
  <w:style w:type="paragraph" w:styleId="7">
    <w:name w:val="Block Text"/>
    <w:basedOn w:val="1"/>
    <w:qFormat/>
    <w:uiPriority w:val="0"/>
    <w:pPr>
      <w:pBdr>
        <w:top w:val="single" w:color="auto" w:sz="6" w:space="1"/>
        <w:bottom w:val="single" w:color="auto" w:sz="6" w:space="1"/>
      </w:pBdr>
      <w:topLinePunct/>
      <w:autoSpaceDE w:val="0"/>
      <w:autoSpaceDN w:val="0"/>
      <w:spacing w:line="540" w:lineRule="atLeast"/>
      <w:ind w:left="948" w:leftChars="100" w:right="17" w:hanging="632" w:hangingChars="200"/>
    </w:pPr>
  </w:style>
  <w:style w:type="paragraph" w:styleId="8">
    <w:name w:val="Plain Text"/>
    <w:basedOn w:val="1"/>
    <w:link w:val="17"/>
    <w:unhideWhenUsed/>
    <w:qFormat/>
    <w:uiPriority w:val="99"/>
    <w:rPr>
      <w:rFonts w:ascii="宋体" w:hAnsi="Courier New" w:eastAsia="宋体"/>
      <w:kern w:val="0"/>
      <w:sz w:val="20"/>
      <w:szCs w:val="20"/>
    </w:rPr>
  </w:style>
  <w:style w:type="paragraph" w:styleId="9">
    <w:name w:val="footer"/>
    <w:basedOn w:val="1"/>
    <w:qFormat/>
    <w:uiPriority w:val="0"/>
    <w:pPr>
      <w:tabs>
        <w:tab w:val="center" w:leader="hyphen" w:pos="4153"/>
        <w:tab w:val="right" w:pos="8306"/>
      </w:tabs>
      <w:snapToGrid w:val="0"/>
      <w:jc w:val="right"/>
    </w:pPr>
    <w:rPr>
      <w:rFonts w:eastAsia="仿宋_GB2312"/>
      <w:sz w:val="28"/>
      <w:szCs w:val="18"/>
    </w:rPr>
  </w:style>
  <w:style w:type="paragraph" w:styleId="10">
    <w:name w:val="header"/>
    <w:basedOn w:val="1"/>
    <w:qFormat/>
    <w:uiPriority w:val="0"/>
    <w:pPr>
      <w:tabs>
        <w:tab w:val="center" w:pos="4153"/>
        <w:tab w:val="right" w:pos="8306"/>
      </w:tabs>
      <w:snapToGrid w:val="0"/>
      <w:jc w:val="center"/>
    </w:pPr>
    <w:rPr>
      <w:rFonts w:eastAsia="仿宋_GB2312"/>
      <w:sz w:val="18"/>
      <w:szCs w:val="18"/>
    </w:rPr>
  </w:style>
  <w:style w:type="paragraph" w:styleId="11">
    <w:name w:val="Normal (Web)"/>
    <w:basedOn w:val="1"/>
    <w:qFormat/>
    <w:uiPriority w:val="99"/>
    <w:pPr>
      <w:spacing w:line="390" w:lineRule="atLeast"/>
      <w:jc w:val="left"/>
    </w:pPr>
    <w:rPr>
      <w:rFonts w:ascii="宋体" w:hAnsi="宋体" w:cs="宋体"/>
      <w:kern w:val="0"/>
      <w:szCs w:val="21"/>
    </w:rPr>
  </w:style>
  <w:style w:type="paragraph" w:styleId="12">
    <w:name w:val="Title"/>
    <w:basedOn w:val="1"/>
    <w:qFormat/>
    <w:uiPriority w:val="0"/>
    <w:pPr>
      <w:spacing w:before="240" w:after="60"/>
      <w:jc w:val="center"/>
      <w:outlineLvl w:val="0"/>
    </w:pPr>
    <w:rPr>
      <w:rFonts w:eastAsia="华康简标题宋" w:cs="Arial"/>
      <w:bCs/>
      <w:sz w:val="44"/>
      <w:szCs w:val="32"/>
    </w:rPr>
  </w:style>
  <w:style w:type="character" w:styleId="15">
    <w:name w:val="Strong"/>
    <w:qFormat/>
    <w:uiPriority w:val="22"/>
    <w:rPr>
      <w:b/>
      <w:bCs/>
    </w:rPr>
  </w:style>
  <w:style w:type="character" w:styleId="16">
    <w:name w:val="page number"/>
    <w:qFormat/>
    <w:uiPriority w:val="0"/>
    <w:rPr>
      <w:rFonts w:ascii="Times New Roman" w:hAnsi="Times New Roman" w:eastAsia="仿宋_GB2312"/>
      <w:sz w:val="28"/>
      <w:lang w:eastAsia="zh-CN"/>
    </w:rPr>
  </w:style>
  <w:style w:type="character" w:customStyle="1" w:styleId="17">
    <w:name w:val="纯文本 Char"/>
    <w:link w:val="8"/>
    <w:qFormat/>
    <w:uiPriority w:val="99"/>
    <w:rPr>
      <w:rFonts w:ascii="宋体" w:hAnsi="Courier New"/>
    </w:rPr>
  </w:style>
  <w:style w:type="paragraph" w:customStyle="1" w:styleId="1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9">
    <w:name w:val="样式 标题 2标题：办公室文件头 + 新宋体 65 磅 加粗 两端对齐 段前: 56 磅"/>
    <w:basedOn w:val="3"/>
    <w:qFormat/>
    <w:uiPriority w:val="0"/>
    <w:pPr>
      <w:spacing w:before="960"/>
      <w:ind w:right="200" w:rightChars="200" w:firstLine="49" w:firstLineChars="49"/>
      <w:jc w:val="both"/>
    </w:pPr>
    <w:rPr>
      <w:rFonts w:ascii="新宋体" w:hAnsi="新宋体" w:eastAsia="新宋体" w:cs="宋体"/>
      <w:b/>
      <w:w w:val="66"/>
      <w:sz w:val="130"/>
      <w:szCs w:val="20"/>
    </w:rPr>
  </w:style>
  <w:style w:type="paragraph" w:customStyle="1" w:styleId="20">
    <w:name w:val="样式 样式 标题 2标题：办公室文件头 + 新宋体 65 磅 加粗 两端对齐 段前: 56 磅 + 首行缩进:  0.49 字符..."/>
    <w:basedOn w:val="19"/>
    <w:qFormat/>
    <w:uiPriority w:val="0"/>
    <w:pPr>
      <w:spacing w:before="720"/>
    </w:pPr>
  </w:style>
  <w:style w:type="paragraph" w:customStyle="1" w:styleId="21">
    <w:name w:val="样式 样式 样式 标题 2标题：办公室文件头 + 新宋体 65 磅 加粗 两端对齐 段前: 56 磅 + 首行缩进:  0.49..."/>
    <w:basedOn w:val="20"/>
    <w:qFormat/>
    <w:uiPriority w:val="0"/>
    <w:pPr>
      <w:spacing w:before="480"/>
    </w:pPr>
  </w:style>
  <w:style w:type="paragraph" w:customStyle="1" w:styleId="22">
    <w:name w:val="NormalIndent"/>
    <w:basedOn w:val="1"/>
    <w:qFormat/>
    <w:uiPriority w:val="0"/>
    <w:pPr>
      <w:ind w:firstLine="420" w:firstLineChars="200"/>
      <w:textAlignment w:val="baseline"/>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dgcc</Company>
  <Pages>8</Pages>
  <Words>3825</Words>
  <Characters>3875</Characters>
  <Lines>24</Lines>
  <Paragraphs>6</Paragraphs>
  <TotalTime>14</TotalTime>
  <ScaleCrop>false</ScaleCrop>
  <LinksUpToDate>false</LinksUpToDate>
  <CharactersWithSpaces>3968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2023-05-23T12:19:00Z</dcterms:created>
  <dc:creator>xbany</dc:creator>
  <cp:lastModifiedBy>H.S</cp:lastModifiedBy>
  <cp:lastPrinted>2023-09-05T03:28:00Z</cp:lastPrinted>
  <dcterms:modified xsi:type="dcterms:W3CDTF">2023-12-23T04:35:08Z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8479920BD09B47C6A78AE715A640022C_13</vt:lpwstr>
  </property>
</Properties>
</file>