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</w:t>
      </w:r>
    </w:p>
    <w:p>
      <w:pPr>
        <w:pStyle w:val="2"/>
      </w:pPr>
    </w:p>
    <w:p>
      <w:pPr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湛环建霞〔202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eastAsia="仿宋_GB2312"/>
          <w:sz w:val="28"/>
          <w:szCs w:val="28"/>
        </w:rPr>
      </w:pPr>
    </w:p>
    <w:p>
      <w:pPr>
        <w:spacing w:line="64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湛江市第四人民医院项目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环境影响报告表的批复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湛江市第四人民医院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pStyle w:val="2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你单位报批的《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湛江市第四人民医院项目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环境影响报告表》（以下简称“报告表”）等材料收悉。经研究，批复如下：</w:t>
      </w:r>
    </w:p>
    <w:p>
      <w:pPr>
        <w:pStyle w:val="2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湛江市第四人民医院项目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位于湛江市霞山区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友谊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号，中心地理坐标为110度24分51秒，21度11分24秒。项目占地面积12298.61m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，建筑面积14525m</w:t>
      </w:r>
      <w:r>
        <w:rPr>
          <w:rFonts w:hint="default" w:ascii="Times New Roman" w:hAnsi="Times New Roman" w:eastAsia="仿宋_GB2312" w:cs="Times New Roman"/>
          <w:sz w:val="32"/>
          <w:szCs w:val="32"/>
          <w:vertAlign w:val="superscript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，设有急诊、内、外、妇、老年、儿科、五官、中医、康复医学、放射、检验、功检等35个科室和9个病区，编制病床449张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定编人员208名，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医护人员5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年运营天数365天，每天工作24小时，三班倒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项目设有一幢3层门诊大楼，一幢4层医技楼，一幢7层住院大楼，一幢3层康复楼，一座污水处理站，1个医疗废物暂存点与一个生活垃圾暂存站。项目总投资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00万，环保投资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须加强环保管理和“三废”防治设施维护，严格按照环评的要求做好各项污染防治措施，确保项目固废及危废得到有效处置、生产废水达标排放、项目大气污染物及生产噪声得到有效防治和持续稳定达标排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须加强医疗废物的日常管理工作。严格按照《医疗废物管理条例》、《医疗卫生机构医疗管理办法》、《危险废物贮存污染控制标准》、《医疗废物集中处置技术规范》、《危险废物转移联单管理办法》等相关规定对该项目产生的危险废物和医疗废物进行存放和处置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）该项目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废水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达到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《医疗机构水污染物排放标准》（GB18466-2005）表2预处理标准、广东省地方标准《水污染物排放限值》（DB44/26-2001）第二时段三级标准和霞山水质净化厂进水水质标准的较严值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后排入霞山水质净化厂；污水处理站废气执行《医疗机构水污染物排放标准》（GB18466-2005）表3废气排放标准；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南边界邻近友谊路一侧的噪声值昼夜执行《工业企业厂界环境噪声排放标准》（GB12348-2008）4类标准，其余边界噪声值昼夜执行《工业企业厂界环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境噪声排放标准》（GB12348-2008）2类标准。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四、若项目的性质、规模、地点、工艺或者防治污染的措施发生重大变动，应重新报批项目的环境影响评价文件。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firstLine="566" w:firstLineChars="177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次环评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及批复不包含放射及电磁辐射相关内容。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right="629"/>
        <w:jc w:val="righ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ind w:left="4469" w:leftChars="2128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9"/>
        <w:rPr>
          <w:rFonts w:hint="eastAsia" w:ascii="仿宋_GB2312" w:eastAsia="仿宋_GB2312"/>
          <w:sz w:val="32"/>
          <w:szCs w:val="32"/>
        </w:rPr>
      </w:pPr>
    </w:p>
    <w:p>
      <w:pPr>
        <w:pStyle w:val="9"/>
        <w:rPr>
          <w:rFonts w:hint="eastAsia" w:ascii="仿宋_GB2312" w:eastAsia="仿宋_GB2312"/>
        </w:rPr>
      </w:pPr>
    </w:p>
    <w:p>
      <w:pPr>
        <w:pStyle w:val="10"/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pStyle w:val="4"/>
        <w:rPr>
          <w:rFonts w:hint="eastAsia" w:ascii="仿宋_GB2312" w:eastAsia="仿宋_GB2312"/>
        </w:rPr>
      </w:pPr>
    </w:p>
    <w:p>
      <w:pPr>
        <w:pStyle w:val="9"/>
        <w:rPr>
          <w:rFonts w:hint="eastAsia" w:ascii="仿宋_GB2312" w:eastAsia="仿宋_GB2312"/>
        </w:rPr>
      </w:pPr>
    </w:p>
    <w:p>
      <w:pPr>
        <w:pStyle w:val="10"/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pStyle w:val="2"/>
        <w:rPr>
          <w:rFonts w:hint="eastAsia" w:ascii="仿宋_GB2312" w:eastAsia="仿宋_GB231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32260621"/>
      <w:docPartObj>
        <w:docPartGallery w:val="autotext"/>
      </w:docPartObj>
    </w:sdtPr>
    <w:sdtContent>
      <w:p>
        <w:pPr>
          <w:pStyle w:val="2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8A8C4C"/>
    <w:multiLevelType w:val="singleLevel"/>
    <w:tmpl w:val="378A8C4C"/>
    <w:lvl w:ilvl="0" w:tentative="0">
      <w:start w:val="1"/>
      <w:numFmt w:val="bullet"/>
      <w:pStyle w:val="14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96"/>
    <w:rsid w:val="00027836"/>
    <w:rsid w:val="0005552C"/>
    <w:rsid w:val="000776CE"/>
    <w:rsid w:val="00087F68"/>
    <w:rsid w:val="000966EF"/>
    <w:rsid w:val="000A48C7"/>
    <w:rsid w:val="000A5597"/>
    <w:rsid w:val="000E4DB6"/>
    <w:rsid w:val="000F2D8C"/>
    <w:rsid w:val="000F3A7F"/>
    <w:rsid w:val="0014250C"/>
    <w:rsid w:val="001845A2"/>
    <w:rsid w:val="001D46CC"/>
    <w:rsid w:val="001E0451"/>
    <w:rsid w:val="001E4738"/>
    <w:rsid w:val="001F3031"/>
    <w:rsid w:val="001F3382"/>
    <w:rsid w:val="002036C0"/>
    <w:rsid w:val="00207D42"/>
    <w:rsid w:val="0022269B"/>
    <w:rsid w:val="00222930"/>
    <w:rsid w:val="00227B17"/>
    <w:rsid w:val="00230E19"/>
    <w:rsid w:val="0027161D"/>
    <w:rsid w:val="0027790E"/>
    <w:rsid w:val="002907E2"/>
    <w:rsid w:val="002E3644"/>
    <w:rsid w:val="00310C9E"/>
    <w:rsid w:val="0035369A"/>
    <w:rsid w:val="00375ADF"/>
    <w:rsid w:val="003955C8"/>
    <w:rsid w:val="00395763"/>
    <w:rsid w:val="003B68A5"/>
    <w:rsid w:val="003C6AB9"/>
    <w:rsid w:val="00401210"/>
    <w:rsid w:val="00422F2D"/>
    <w:rsid w:val="0044065F"/>
    <w:rsid w:val="00466937"/>
    <w:rsid w:val="00483025"/>
    <w:rsid w:val="004A75A5"/>
    <w:rsid w:val="004B4F18"/>
    <w:rsid w:val="004C5BAF"/>
    <w:rsid w:val="005279A0"/>
    <w:rsid w:val="00543BD7"/>
    <w:rsid w:val="005D36FB"/>
    <w:rsid w:val="006202A2"/>
    <w:rsid w:val="00634111"/>
    <w:rsid w:val="00691651"/>
    <w:rsid w:val="00693DCE"/>
    <w:rsid w:val="006C4084"/>
    <w:rsid w:val="006E225C"/>
    <w:rsid w:val="006F5D6F"/>
    <w:rsid w:val="00765FD2"/>
    <w:rsid w:val="00773639"/>
    <w:rsid w:val="00793BD3"/>
    <w:rsid w:val="007C06DA"/>
    <w:rsid w:val="007F2985"/>
    <w:rsid w:val="007F2AE6"/>
    <w:rsid w:val="007F434C"/>
    <w:rsid w:val="007F4C97"/>
    <w:rsid w:val="00823816"/>
    <w:rsid w:val="00884396"/>
    <w:rsid w:val="00891538"/>
    <w:rsid w:val="008D2798"/>
    <w:rsid w:val="008E341F"/>
    <w:rsid w:val="008F4F9F"/>
    <w:rsid w:val="00903D3B"/>
    <w:rsid w:val="00911EE8"/>
    <w:rsid w:val="0096014C"/>
    <w:rsid w:val="009678FC"/>
    <w:rsid w:val="009A1F09"/>
    <w:rsid w:val="009E5FFD"/>
    <w:rsid w:val="00A11B48"/>
    <w:rsid w:val="00A432A3"/>
    <w:rsid w:val="00A87A6E"/>
    <w:rsid w:val="00AF71D3"/>
    <w:rsid w:val="00B42EC8"/>
    <w:rsid w:val="00B46F85"/>
    <w:rsid w:val="00BB5CCA"/>
    <w:rsid w:val="00BB5ECF"/>
    <w:rsid w:val="00BC0A3C"/>
    <w:rsid w:val="00BE55BA"/>
    <w:rsid w:val="00C00CBA"/>
    <w:rsid w:val="00C5060A"/>
    <w:rsid w:val="00C91FCE"/>
    <w:rsid w:val="00CA18AB"/>
    <w:rsid w:val="00CD7503"/>
    <w:rsid w:val="00CF762D"/>
    <w:rsid w:val="00D85488"/>
    <w:rsid w:val="00DA436D"/>
    <w:rsid w:val="00DB2F5A"/>
    <w:rsid w:val="00DD5936"/>
    <w:rsid w:val="00DF0E2E"/>
    <w:rsid w:val="00E1237E"/>
    <w:rsid w:val="00E133CB"/>
    <w:rsid w:val="00E34C7F"/>
    <w:rsid w:val="00E41F1D"/>
    <w:rsid w:val="00E609CC"/>
    <w:rsid w:val="00E64860"/>
    <w:rsid w:val="00EE15E9"/>
    <w:rsid w:val="00EE5BFF"/>
    <w:rsid w:val="00F018F6"/>
    <w:rsid w:val="00F359CD"/>
    <w:rsid w:val="00F551DF"/>
    <w:rsid w:val="00F76EC6"/>
    <w:rsid w:val="00F85EA1"/>
    <w:rsid w:val="00FB008A"/>
    <w:rsid w:val="029124CE"/>
    <w:rsid w:val="0ADA61CB"/>
    <w:rsid w:val="12841573"/>
    <w:rsid w:val="160112A0"/>
    <w:rsid w:val="249E68AF"/>
    <w:rsid w:val="29612807"/>
    <w:rsid w:val="309D1A2E"/>
    <w:rsid w:val="3FAD3953"/>
    <w:rsid w:val="476374E2"/>
    <w:rsid w:val="53B524A6"/>
    <w:rsid w:val="61A47021"/>
    <w:rsid w:val="739E0BBC"/>
    <w:rsid w:val="758E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qFormat="1" w:unhideWhenUsed="0" w:uiPriority="0" w:semiHidden="0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qFormat/>
    <w:uiPriority w:val="0"/>
    <w:pPr>
      <w:autoSpaceDE w:val="0"/>
      <w:autoSpaceDN w:val="0"/>
    </w:pPr>
    <w:rPr>
      <w:rFonts w:cs="宋体"/>
      <w:color w:val="000000"/>
      <w:sz w:val="24"/>
      <w:szCs w:val="24"/>
    </w:rPr>
  </w:style>
  <w:style w:type="paragraph" w:customStyle="1" w:styleId="3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4">
    <w:name w:val="样式35"/>
    <w:basedOn w:val="5"/>
    <w:next w:val="9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5">
    <w:name w:val="样式26"/>
    <w:basedOn w:val="6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6">
    <w:name w:val="样式21"/>
    <w:basedOn w:val="7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7">
    <w:name w:val="样式5"/>
    <w:basedOn w:val="8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8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9">
    <w:name w:val="font6"/>
    <w:basedOn w:val="1"/>
    <w:next w:val="1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  <w:style w:type="paragraph" w:styleId="10">
    <w:name w:val="toc 2"/>
    <w:basedOn w:val="1"/>
    <w:next w:val="11"/>
    <w:qFormat/>
    <w:uiPriority w:val="0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E-mail Signature"/>
    <w:basedOn w:val="1"/>
    <w:next w:val="12"/>
    <w:qFormat/>
    <w:uiPriority w:val="0"/>
    <w:pPr>
      <w:spacing w:line="460" w:lineRule="exact"/>
      <w:ind w:firstLine="200"/>
    </w:pPr>
    <w:rPr>
      <w:sz w:val="24"/>
    </w:rPr>
  </w:style>
  <w:style w:type="paragraph" w:customStyle="1" w:styleId="12">
    <w:name w:val="文章"/>
    <w:basedOn w:val="1"/>
    <w:next w:val="13"/>
    <w:qFormat/>
    <w:uiPriority w:val="0"/>
    <w:pPr>
      <w:widowControl/>
      <w:ind w:firstLine="480"/>
      <w:jc w:val="center"/>
    </w:pPr>
    <w:rPr>
      <w:sz w:val="26"/>
    </w:rPr>
  </w:style>
  <w:style w:type="paragraph" w:styleId="13">
    <w:name w:val="List"/>
    <w:basedOn w:val="1"/>
    <w:next w:val="14"/>
    <w:qFormat/>
    <w:uiPriority w:val="0"/>
    <w:pPr>
      <w:ind w:left="200" w:hanging="200" w:hangingChars="200"/>
    </w:pPr>
    <w:rPr>
      <w:rFonts w:ascii="Times New Roman" w:hAnsi="Times New Roman" w:eastAsia="宋体" w:cs="Times New Roman"/>
      <w:szCs w:val="24"/>
    </w:rPr>
  </w:style>
  <w:style w:type="paragraph" w:styleId="14">
    <w:name w:val="List Bullet 2"/>
    <w:basedOn w:val="1"/>
    <w:next w:val="15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15">
    <w:name w:val="xl70"/>
    <w:basedOn w:val="1"/>
    <w:next w:val="16"/>
    <w:qFormat/>
    <w:uiPriority w:val="0"/>
    <w:pPr>
      <w:widowControl/>
      <w:tabs>
        <w:tab w:val="left" w:pos="480"/>
      </w:tabs>
      <w:spacing w:before="280" w:after="280"/>
    </w:pPr>
    <w:rPr>
      <w:rFonts w:ascii="宋体"/>
    </w:rPr>
  </w:style>
  <w:style w:type="paragraph" w:customStyle="1" w:styleId="16">
    <w:name w:val="正文缩进1"/>
    <w:basedOn w:val="1"/>
    <w:next w:val="17"/>
    <w:qFormat/>
    <w:uiPriority w:val="0"/>
    <w:pPr>
      <w:tabs>
        <w:tab w:val="left" w:pos="480"/>
      </w:tabs>
      <w:ind w:firstLine="420"/>
    </w:pPr>
    <w:rPr>
      <w:szCs w:val="20"/>
    </w:rPr>
  </w:style>
  <w:style w:type="paragraph" w:customStyle="1" w:styleId="17">
    <w:name w:val="td1"/>
    <w:basedOn w:val="1"/>
    <w:next w:val="1"/>
    <w:qFormat/>
    <w:uiPriority w:val="0"/>
    <w:pPr>
      <w:widowControl/>
      <w:tabs>
        <w:tab w:val="left" w:pos="480"/>
      </w:tabs>
      <w:spacing w:before="280" w:after="280" w:line="300" w:lineRule="atLeast"/>
      <w:ind w:firstLine="200"/>
    </w:pPr>
    <w:rPr>
      <w:color w:val="000000"/>
      <w:sz w:val="18"/>
    </w:rPr>
  </w:style>
  <w:style w:type="paragraph" w:styleId="18">
    <w:name w:val="annotation text"/>
    <w:basedOn w:val="1"/>
    <w:semiHidden/>
    <w:qFormat/>
    <w:uiPriority w:val="0"/>
    <w:pPr>
      <w:jc w:val="left"/>
    </w:pPr>
    <w:rPr>
      <w:kern w:val="0"/>
      <w:sz w:val="24"/>
      <w:szCs w:val="20"/>
    </w:rPr>
  </w:style>
  <w:style w:type="paragraph" w:styleId="19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20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21">
    <w:name w:val="footer"/>
    <w:basedOn w:val="1"/>
    <w:link w:val="2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List Paragraph"/>
    <w:basedOn w:val="1"/>
    <w:qFormat/>
    <w:uiPriority w:val="34"/>
    <w:pPr>
      <w:ind w:firstLine="420" w:firstLineChars="200"/>
    </w:pPr>
  </w:style>
  <w:style w:type="character" w:customStyle="1" w:styleId="26">
    <w:name w:val="页眉 字符"/>
    <w:basedOn w:val="24"/>
    <w:link w:val="22"/>
    <w:qFormat/>
    <w:uiPriority w:val="99"/>
    <w:rPr>
      <w:sz w:val="18"/>
      <w:szCs w:val="18"/>
    </w:rPr>
  </w:style>
  <w:style w:type="character" w:customStyle="1" w:styleId="27">
    <w:name w:val="页脚 字符"/>
    <w:basedOn w:val="24"/>
    <w:link w:val="21"/>
    <w:qFormat/>
    <w:uiPriority w:val="99"/>
    <w:rPr>
      <w:sz w:val="18"/>
      <w:szCs w:val="18"/>
    </w:rPr>
  </w:style>
  <w:style w:type="character" w:customStyle="1" w:styleId="28">
    <w:name w:val="日期 字符"/>
    <w:basedOn w:val="24"/>
    <w:link w:val="20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29">
    <w:name w:val="报告表正文"/>
    <w:basedOn w:val="19"/>
    <w:next w:val="1"/>
    <w:qFormat/>
    <w:uiPriority w:val="0"/>
    <w:pPr>
      <w:spacing w:before="0" w:beforeLines="0" w:line="360" w:lineRule="auto"/>
      <w:ind w:left="0" w:right="0" w:firstLine="720" w:firstLineChars="200"/>
    </w:pPr>
    <w:rPr>
      <w:rFonts w:ascii="Times New Roman" w:hAnsi="Times New Roman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1075</Characters>
  <Lines>9</Lines>
  <Paragraphs>2</Paragraphs>
  <TotalTime>48</TotalTime>
  <ScaleCrop>false</ScaleCrop>
  <LinksUpToDate>false</LinksUpToDate>
  <CharactersWithSpaces>1119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2019-07-15T03:54:00Z</dcterms:created>
  <dc:creator>332394983@qq.com</dc:creator>
  <cp:lastModifiedBy>sghnc</cp:lastModifiedBy>
  <cp:lastPrinted>2021-07-18T02:45:14Z</cp:lastPrinted>
  <dcterms:modified xsi:type="dcterms:W3CDTF">2021-07-18T03:08:32Z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313964401_btnclosed</vt:lpwstr>
  </property>
  <property fmtid="{D5CDD505-2E9C-101B-9397-08002B2CF9AE}" pid="4" name="ICV">
    <vt:lpwstr>38B16D4CEB8442EA8202119693558730</vt:lpwstr>
  </property>
</Properties>
</file>