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21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13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spacing w:line="520" w:lineRule="exact"/>
        <w:jc w:val="center"/>
        <w:rPr>
          <w:rFonts w:hint="eastAsia"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关于</w:t>
      </w:r>
      <w:r>
        <w:rPr>
          <w:rFonts w:hint="eastAsia" w:ascii="小标宋" w:eastAsia="小标宋"/>
          <w:sz w:val="44"/>
          <w:szCs w:val="44"/>
          <w:lang w:eastAsia="zh-CN"/>
        </w:rPr>
        <w:t>中油碧辟石油有限公司湛江湛霞加油站</w:t>
      </w:r>
      <w:r>
        <w:rPr>
          <w:rFonts w:hint="eastAsia" w:ascii="小标宋" w:eastAsia="小标宋"/>
          <w:sz w:val="44"/>
          <w:szCs w:val="44"/>
        </w:rPr>
        <w:t>建设项目环境影响报告表的批复</w:t>
      </w:r>
    </w:p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中油碧辟石油有限公司湛江湛霞加油站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你单位报批的《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中油碧辟石油有限公司湛江湛霞加油站</w:t>
      </w:r>
      <w:r>
        <w:rPr>
          <w:rFonts w:hint="eastAsia" w:ascii="仿宋" w:hAnsi="仿宋" w:eastAsia="仿宋" w:cs="仿宋"/>
          <w:sz w:val="32"/>
          <w:szCs w:val="32"/>
        </w:rPr>
        <w:t>建设项目环境影响报告表》（以下简称“报告表”）等材料收悉。经研究，批复如下：</w:t>
      </w:r>
    </w:p>
    <w:p>
      <w:pPr>
        <w:numPr>
          <w:ilvl w:val="0"/>
          <w:numId w:val="1"/>
        </w:num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位</w:t>
      </w:r>
      <w:r>
        <w:rPr>
          <w:rFonts w:hint="eastAsia" w:ascii="仿宋" w:hAnsi="仿宋" w:eastAsia="仿宋" w:cs="仿宋"/>
          <w:sz w:val="32"/>
          <w:szCs w:val="32"/>
        </w:rPr>
        <w:t>于湛江市霞山区湖光路立体交叉桥下（中心位置地理坐标为110 度23分 23.677 秒， 21 度10 分 37.441 秒），占地面积为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4520</w:t>
      </w:r>
      <w:r>
        <w:rPr>
          <w:rFonts w:hint="eastAsia" w:ascii="仿宋" w:hAnsi="仿宋" w:eastAsia="仿宋" w:cs="仿宋"/>
          <w:sz w:val="32"/>
          <w:szCs w:val="32"/>
        </w:rPr>
        <w:t>m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，建筑面积为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680</w:t>
      </w:r>
      <w:r>
        <w:rPr>
          <w:rFonts w:hint="eastAsia" w:ascii="仿宋" w:hAnsi="仿宋" w:eastAsia="仿宋" w:cs="仿宋"/>
          <w:sz w:val="32"/>
          <w:szCs w:val="32"/>
        </w:rPr>
        <w:t>m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，年销售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汽油约3700t，柴油约1100t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项目建筑内容包括站房、罩棚、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油品储罐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加油岛等部分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</w:t>
      </w:r>
      <w:r>
        <w:rPr>
          <w:rFonts w:hint="eastAsia" w:ascii="仿宋" w:hAnsi="仿宋" w:eastAsia="仿宋" w:cs="仿宋"/>
          <w:sz w:val="32"/>
          <w:szCs w:val="32"/>
        </w:rPr>
        <w:t>站房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二层框架结构，设有便利店、办公室、洗手间等辅助服务功能。罩棚高6m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加油岛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设4台六枪潜泵式加油机</w:t>
      </w:r>
      <w:r>
        <w:rPr>
          <w:rFonts w:hint="eastAsia" w:ascii="仿宋" w:hAnsi="仿宋" w:eastAsia="仿宋" w:cs="仿宋"/>
          <w:sz w:val="32"/>
          <w:szCs w:val="32"/>
        </w:rPr>
        <w:t>。油罐区共有埋地卧式贮油罐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个，3个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35m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埋地卧式汽油储罐，92#汽油储罐1个，95#汽油储罐1个，98#汽油储罐1个，35m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埋地卧式柴油储罐1个，均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属于</w:t>
      </w:r>
      <w:r>
        <w:rPr>
          <w:rFonts w:hint="eastAsia" w:ascii="仿宋" w:hAnsi="仿宋" w:eastAsia="仿宋" w:cs="仿宋"/>
          <w:sz w:val="32"/>
          <w:szCs w:val="32"/>
        </w:rPr>
        <w:t>双层SF（钢制强化塑料制）油罐。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项目设一套二次油气回收系统，并建有隔油池和化粪池等工程。</w:t>
      </w:r>
      <w:r>
        <w:rPr>
          <w:rFonts w:hint="eastAsia" w:ascii="仿宋" w:hAnsi="仿宋" w:eastAsia="仿宋" w:cs="仿宋"/>
          <w:sz w:val="32"/>
          <w:szCs w:val="32"/>
        </w:rPr>
        <w:t>该项目总投资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480</w:t>
      </w:r>
      <w:r>
        <w:rPr>
          <w:rFonts w:hint="eastAsia" w:ascii="仿宋" w:hAnsi="仿宋" w:eastAsia="仿宋" w:cs="仿宋"/>
          <w:sz w:val="32"/>
          <w:szCs w:val="32"/>
        </w:rPr>
        <w:t>万元，其中环保投资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sz w:val="32"/>
          <w:szCs w:val="32"/>
        </w:rPr>
        <w:t>万元，占总投资比例的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11.46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numPr>
          <w:ilvl w:val="0"/>
          <w:numId w:val="1"/>
        </w:num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报告表</w:t>
      </w:r>
      <w:r>
        <w:rPr>
          <w:rFonts w:hint="eastAsia" w:ascii="仿宋" w:hAnsi="仿宋" w:eastAsia="仿宋" w:cs="仿宋"/>
          <w:sz w:val="32"/>
          <w:szCs w:val="32"/>
        </w:rPr>
        <w:t>的评价结论，在全面落实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报告表</w:t>
      </w:r>
      <w:r>
        <w:rPr>
          <w:rFonts w:hint="eastAsia" w:ascii="仿宋" w:hAnsi="仿宋" w:eastAsia="仿宋" w:cs="仿宋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报告表</w:t>
      </w:r>
      <w:r>
        <w:rPr>
          <w:rFonts w:hint="eastAsia" w:ascii="仿宋" w:hAnsi="仿宋" w:eastAsia="仿宋" w:cs="仿宋"/>
          <w:sz w:val="32"/>
          <w:szCs w:val="32"/>
        </w:rPr>
        <w:t>中所列性质、规模、地点和拟采取的环境保护措施进行建设，从环境保护角度可行。我局原则通过对报告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仿宋"/>
          <w:sz w:val="32"/>
          <w:szCs w:val="32"/>
        </w:rPr>
        <w:t>的审查，你公司应按照报告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仿宋"/>
          <w:sz w:val="32"/>
          <w:szCs w:val="32"/>
        </w:rPr>
        <w:t>内容组织实施。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三、项目建设和运营中还应重点做好以下工作：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）该项目须加强环保管理和“三废”防治设施维护，严格按照环评的要求做好各项污染防治措施，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确保</w:t>
      </w:r>
      <w:r>
        <w:rPr>
          <w:rFonts w:hint="eastAsia" w:ascii="仿宋" w:hAnsi="仿宋" w:eastAsia="仿宋" w:cs="仿宋"/>
          <w:sz w:val="32"/>
          <w:szCs w:val="32"/>
        </w:rPr>
        <w:t>项目固废得到有效处置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各类污染物</w:t>
      </w:r>
      <w:r>
        <w:rPr>
          <w:rFonts w:hint="eastAsia" w:ascii="仿宋" w:hAnsi="仿宋" w:eastAsia="仿宋" w:cs="仿宋"/>
          <w:sz w:val="32"/>
          <w:szCs w:val="32"/>
        </w:rPr>
        <w:t>稳定达标排放。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该项目固体废物需严格按环评要求妥善处置，如实记录产生固体废物的种类、数量、利用、贮存、处置、流向等信息，并建立管理台帐，存档备查；生活垃圾定点收集，交由环卫部门定期清运。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该项目须加强危险废物的管理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交由有资质的单位进行安全处置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建立危险废物管理台账，存档备查。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（四）本项目</w:t>
      </w:r>
      <w:r>
        <w:rPr>
          <w:rFonts w:hint="eastAsia" w:ascii="仿宋" w:hAnsi="仿宋" w:eastAsia="仿宋" w:cs="仿宋"/>
          <w:sz w:val="32"/>
          <w:szCs w:val="32"/>
        </w:rPr>
        <w:t>汽车尾气执行广东省地方标准《大气污染物排放限值》（DB44/27-2001）第二时段二级标准及无组织监控浓度限值；非甲烷总烃厂界无组织排放执行广东省地方标准《大气污染物排放限值》（DB44/27-2001）第二时段无组织监控浓度限值；站区内非甲烷总烃无组织排放执行《挥发性有机物无组织排放控制标准》（GB37822-2019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项目生活污水经预处理达到广东省地方标准《水污染物排放限值》（DB44/26-2001）第二时段三级标准后，经市政污水管网进入霞山水质净化厂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项目东侧厂界执行《工业企业厂界环境噪声排放标准》（GB12348-2008）4类标准，其它厂界执行《工业企业厂界环境噪声排放标准》（GB12348-2008）2类标准。</w:t>
      </w:r>
    </w:p>
    <w:p>
      <w:pPr>
        <w:spacing w:line="600" w:lineRule="exact"/>
        <w:ind w:firstLine="566" w:firstLineChars="177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）本项目运营期间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须确保油气回收系统正常运行，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减少挥发性有机物的排放。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）有关污染物总量控制指标须严格按照生态环境部门核定的执行。</w:t>
      </w:r>
    </w:p>
    <w:p>
      <w:pPr>
        <w:spacing w:line="600" w:lineRule="exact"/>
        <w:ind w:firstLine="566" w:firstLineChars="177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rPr>
          <w:rFonts w:hint="eastAsia" w:ascii="仿宋" w:hAnsi="仿宋" w:eastAsia="仿宋" w:cs="仿宋"/>
        </w:rPr>
      </w:pPr>
    </w:p>
    <w:p>
      <w:pPr>
        <w:pStyle w:val="7"/>
        <w:rPr>
          <w:rFonts w:hint="eastAsia" w:ascii="仿宋" w:hAnsi="仿宋" w:eastAsia="仿宋" w:cs="仿宋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629" w:rightChars="0" w:firstLine="0" w:firstLineChars="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湛江市生态环境局</w:t>
      </w:r>
    </w:p>
    <w:p>
      <w:pPr>
        <w:ind w:left="4469" w:leftChars="2128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2021年6月2日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D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C89ABA"/>
    <w:multiLevelType w:val="singleLevel"/>
    <w:tmpl w:val="F4C89A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AB36C2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A99580A"/>
    <w:rsid w:val="0B187C8B"/>
    <w:rsid w:val="0EE7640C"/>
    <w:rsid w:val="104638E4"/>
    <w:rsid w:val="10C65629"/>
    <w:rsid w:val="13E8376E"/>
    <w:rsid w:val="25776CA5"/>
    <w:rsid w:val="2CFD654A"/>
    <w:rsid w:val="32BD0017"/>
    <w:rsid w:val="3BEE10C4"/>
    <w:rsid w:val="442B4798"/>
    <w:rsid w:val="45986459"/>
    <w:rsid w:val="46F97E30"/>
    <w:rsid w:val="513B5092"/>
    <w:rsid w:val="5617744D"/>
    <w:rsid w:val="581466B3"/>
    <w:rsid w:val="5CDE636C"/>
    <w:rsid w:val="5D5A2F7C"/>
    <w:rsid w:val="5EB31BA9"/>
    <w:rsid w:val="645B5C76"/>
    <w:rsid w:val="68360B26"/>
    <w:rsid w:val="6AFB3231"/>
    <w:rsid w:val="73686B95"/>
    <w:rsid w:val="74586E9C"/>
    <w:rsid w:val="74E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adjustRightInd w:val="0"/>
      <w:textAlignment w:val="baseline"/>
    </w:pPr>
    <w:rPr>
      <w:rFonts w:hAnsi="Courier New"/>
      <w:sz w:val="21"/>
      <w:szCs w:val="20"/>
    </w:rPr>
  </w:style>
  <w:style w:type="paragraph" w:styleId="5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Body Text Indent"/>
    <w:basedOn w:val="1"/>
    <w:qFormat/>
    <w:uiPriority w:val="0"/>
    <w:pPr>
      <w:ind w:left="420" w:firstLine="600"/>
    </w:pPr>
    <w:rPr>
      <w:rFonts w:ascii="宋体" w:hAnsi="宋体"/>
      <w:sz w:val="30"/>
    </w:rPr>
  </w:style>
  <w:style w:type="paragraph" w:styleId="9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10">
    <w:name w:val="Body Text First Indent 2"/>
    <w:basedOn w:val="8"/>
    <w:qFormat/>
    <w:uiPriority w:val="0"/>
    <w:pPr>
      <w:spacing w:after="120"/>
      <w:ind w:leftChars="200" w:firstLine="420" w:firstLineChars="200"/>
    </w:pPr>
    <w:rPr>
      <w:sz w:val="21"/>
    </w:rPr>
  </w:style>
  <w:style w:type="paragraph" w:customStyle="1" w:styleId="13">
    <w:name w:val="0-Meng"/>
    <w:basedOn w:val="1"/>
    <w:next w:val="1"/>
    <w:qFormat/>
    <w:uiPriority w:val="0"/>
    <w:pPr>
      <w:spacing w:line="360" w:lineRule="auto"/>
      <w:ind w:firstLine="200" w:firstLineChars="200"/>
    </w:pPr>
    <w:rPr>
      <w:color w:val="000000"/>
      <w:sz w:val="24"/>
      <w:szCs w:val="24"/>
    </w:rPr>
  </w:style>
  <w:style w:type="paragraph" w:customStyle="1" w:styleId="14">
    <w:name w:val="0正文"/>
    <w:qFormat/>
    <w:uiPriority w:val="99"/>
    <w:pPr>
      <w:widowControl w:val="0"/>
      <w:spacing w:line="360" w:lineRule="auto"/>
      <w:ind w:firstLine="720" w:firstLineChars="200"/>
    </w:pPr>
    <w:rPr>
      <w:rFonts w:ascii="Calibri" w:hAnsi="Calibri" w:eastAsia="宋体" w:cs="Times New Roman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503</Characters>
  <Lines>4</Lines>
  <Paragraphs>1</Paragraphs>
  <TotalTime>1</TotalTime>
  <ScaleCrop>false</ScaleCrop>
  <LinksUpToDate>false</LinksUpToDate>
  <CharactersWithSpaces>590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2021-06-08T06:56:00Z</cp:lastPrinted>
  <dcterms:modified xsi:type="dcterms:W3CDTF">2021-06-20T11:52:57Z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01BF6F8AD2FF472F9D64145E10446118</vt:lpwstr>
  </property>
</Properties>
</file>