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11"/>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21</w:t>
      </w:r>
      <w:r>
        <w:rPr>
          <w:rFonts w:hint="eastAsia" w:ascii="仿宋_GB2312" w:eastAsia="仿宋_GB2312"/>
          <w:sz w:val="32"/>
        </w:rPr>
        <w:t>〕</w:t>
      </w:r>
      <w:r>
        <w:rPr>
          <w:rFonts w:hint="eastAsia" w:ascii="仿宋_GB2312" w:eastAsia="仿宋_GB2312"/>
          <w:sz w:val="32"/>
          <w:lang w:val="en-US" w:eastAsia="zh-CN"/>
        </w:rPr>
        <w:t>12</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小标宋" w:eastAsia="小标宋"/>
          <w:sz w:val="44"/>
          <w:szCs w:val="44"/>
        </w:rPr>
      </w:pPr>
      <w:r>
        <w:rPr>
          <w:rFonts w:hint="eastAsia" w:ascii="小标宋" w:eastAsia="小标宋"/>
          <w:sz w:val="44"/>
          <w:szCs w:val="44"/>
        </w:rPr>
        <w:t>关于中国石油天然气股份有限公司广东</w:t>
      </w:r>
      <w:bookmarkStart w:id="0" w:name="_GoBack"/>
      <w:bookmarkEnd w:id="0"/>
      <w:r>
        <w:rPr>
          <w:rFonts w:hint="eastAsia" w:ascii="小标宋" w:eastAsia="小标宋"/>
          <w:sz w:val="44"/>
          <w:szCs w:val="44"/>
        </w:rPr>
        <w:t>湛江椹川加油站建设项目环境影响报告表的批复</w:t>
      </w:r>
    </w:p>
    <w:p>
      <w:pPr>
        <w:rPr>
          <w:rFonts w:hint="eastAsia" w:ascii="仿宋_GB2312" w:eastAsia="仿宋_GB2312"/>
          <w:sz w:val="32"/>
          <w:szCs w:val="32"/>
        </w:rPr>
      </w:pPr>
    </w:p>
    <w:p>
      <w:pPr>
        <w:rPr>
          <w:rFonts w:hint="eastAsia" w:ascii="仿宋" w:hAnsi="仿宋" w:eastAsia="仿宋" w:cs="仿宋"/>
          <w:sz w:val="32"/>
          <w:szCs w:val="32"/>
        </w:rPr>
      </w:pPr>
      <w:r>
        <w:rPr>
          <w:rFonts w:hint="eastAsia" w:ascii="仿宋" w:hAnsi="仿宋" w:eastAsia="仿宋" w:cs="仿宋"/>
          <w:sz w:val="32"/>
          <w:szCs w:val="32"/>
        </w:rPr>
        <w:t>中国石油天然气股份有限公司广东湛江椹川加油站：</w:t>
      </w:r>
    </w:p>
    <w:p>
      <w:pPr>
        <w:ind w:firstLine="566" w:firstLineChars="177"/>
        <w:rPr>
          <w:rFonts w:hint="eastAsia" w:ascii="仿宋" w:hAnsi="仿宋" w:eastAsia="仿宋" w:cs="仿宋"/>
          <w:sz w:val="32"/>
          <w:szCs w:val="32"/>
        </w:rPr>
      </w:pPr>
      <w:r>
        <w:rPr>
          <w:rFonts w:hint="eastAsia" w:ascii="仿宋" w:hAnsi="仿宋" w:eastAsia="仿宋" w:cs="仿宋"/>
          <w:sz w:val="32"/>
          <w:szCs w:val="32"/>
        </w:rPr>
        <w:t>你单位报批的《中国石油天然气股份有限公司广东湛江椹川加油站建设项目环境影响报告表》（以下简称“报告表”）等材料收悉。经研究，批复如下：</w:t>
      </w:r>
    </w:p>
    <w:p>
      <w:pPr>
        <w:numPr>
          <w:ilvl w:val="0"/>
          <w:numId w:val="1"/>
        </w:numPr>
        <w:spacing w:line="600" w:lineRule="exact"/>
        <w:ind w:firstLine="566" w:firstLineChars="177"/>
        <w:rPr>
          <w:rFonts w:hint="eastAsia" w:ascii="仿宋" w:hAnsi="仿宋" w:eastAsia="仿宋" w:cs="仿宋"/>
          <w:sz w:val="32"/>
          <w:szCs w:val="32"/>
        </w:rPr>
      </w:pPr>
      <w:r>
        <w:rPr>
          <w:rFonts w:hint="eastAsia" w:ascii="仿宋" w:hAnsi="仿宋" w:eastAsia="仿宋" w:cs="仿宋"/>
          <w:sz w:val="32"/>
          <w:szCs w:val="32"/>
        </w:rPr>
        <w:t>项目</w:t>
      </w:r>
      <w:r>
        <w:rPr>
          <w:rFonts w:hint="eastAsia" w:ascii="仿宋" w:hAnsi="仿宋" w:eastAsia="仿宋" w:cs="仿宋"/>
          <w:sz w:val="32"/>
          <w:szCs w:val="32"/>
          <w:lang w:val="en-US" w:eastAsia="zh-CN"/>
        </w:rPr>
        <w:t>位</w:t>
      </w:r>
      <w:r>
        <w:rPr>
          <w:rFonts w:hint="eastAsia" w:ascii="仿宋" w:hAnsi="仿宋" w:eastAsia="仿宋" w:cs="仿宋"/>
          <w:sz w:val="32"/>
          <w:szCs w:val="32"/>
        </w:rPr>
        <w:t>于湛江市霞山区椹川大道南</w:t>
      </w:r>
      <w:r>
        <w:rPr>
          <w:rFonts w:hint="eastAsia" w:ascii="仿宋" w:hAnsi="仿宋" w:eastAsia="仿宋" w:cs="仿宋"/>
          <w:sz w:val="32"/>
          <w:szCs w:val="32"/>
          <w:lang w:val="en-US" w:eastAsia="zh-CN"/>
        </w:rPr>
        <w:t>51</w:t>
      </w:r>
      <w:r>
        <w:rPr>
          <w:rFonts w:hint="eastAsia" w:ascii="仿宋" w:hAnsi="仿宋" w:eastAsia="仿宋" w:cs="仿宋"/>
          <w:sz w:val="32"/>
          <w:szCs w:val="32"/>
        </w:rPr>
        <w:t>号（中心位置地理坐标为110度23分29.050秒，21度12分8.913秒），占地面积为1029.5m</w:t>
      </w:r>
      <w:r>
        <w:rPr>
          <w:rFonts w:hint="eastAsia" w:ascii="仿宋" w:hAnsi="仿宋" w:eastAsia="仿宋" w:cs="仿宋"/>
          <w:sz w:val="32"/>
          <w:szCs w:val="32"/>
          <w:vertAlign w:val="superscript"/>
        </w:rPr>
        <w:t>2</w:t>
      </w:r>
      <w:r>
        <w:rPr>
          <w:rFonts w:hint="eastAsia" w:ascii="仿宋" w:hAnsi="仿宋" w:eastAsia="仿宋" w:cs="仿宋"/>
          <w:sz w:val="32"/>
          <w:szCs w:val="32"/>
        </w:rPr>
        <w:t>，建筑面积为467.94m</w:t>
      </w:r>
      <w:r>
        <w:rPr>
          <w:rFonts w:hint="eastAsia" w:ascii="仿宋" w:hAnsi="仿宋" w:eastAsia="仿宋" w:cs="仿宋"/>
          <w:sz w:val="32"/>
          <w:szCs w:val="32"/>
          <w:vertAlign w:val="superscript"/>
        </w:rPr>
        <w:t>2</w:t>
      </w:r>
      <w:r>
        <w:rPr>
          <w:rFonts w:hint="eastAsia" w:ascii="仿宋" w:hAnsi="仿宋" w:eastAsia="仿宋" w:cs="仿宋"/>
          <w:sz w:val="32"/>
          <w:szCs w:val="32"/>
        </w:rPr>
        <w:t>，年销售油品2130t</w:t>
      </w:r>
      <w:r>
        <w:rPr>
          <w:rFonts w:hint="eastAsia" w:ascii="仿宋" w:hAnsi="仿宋" w:eastAsia="仿宋" w:cs="仿宋"/>
          <w:sz w:val="32"/>
          <w:szCs w:val="32"/>
          <w:lang w:eastAsia="zh-CN"/>
        </w:rPr>
        <w:t>，</w:t>
      </w:r>
      <w:r>
        <w:rPr>
          <w:rFonts w:hint="eastAsia" w:ascii="仿宋" w:hAnsi="仿宋" w:eastAsia="仿宋" w:cs="仿宋"/>
          <w:sz w:val="32"/>
          <w:szCs w:val="32"/>
        </w:rPr>
        <w:t>不设汽车维修及汽车美容服务，项目建筑内容包括综合站房、罩棚、油罐区、辅房、配电间等及其配套设施。综合站房共两层，第一层使用功能主要为配电间以及员工休息间，第二层使用功能主要为卫生间、办公室以及便利店等。罩棚高6m</w:t>
      </w:r>
      <w:r>
        <w:rPr>
          <w:rFonts w:hint="eastAsia" w:ascii="仿宋" w:hAnsi="仿宋" w:eastAsia="仿宋" w:cs="仿宋"/>
          <w:sz w:val="32"/>
          <w:szCs w:val="32"/>
          <w:lang w:eastAsia="zh-CN"/>
        </w:rPr>
        <w:t>，</w:t>
      </w:r>
      <w:r>
        <w:rPr>
          <w:rFonts w:hint="eastAsia" w:ascii="仿宋" w:hAnsi="仿宋" w:eastAsia="仿宋" w:cs="仿宋"/>
          <w:sz w:val="32"/>
          <w:szCs w:val="32"/>
        </w:rPr>
        <w:t>设4台四枪四品潜油泵型加油机。油罐区共有埋地卧式贮油罐5个，其中0#柴油罐2个、92#汽油罐2个以及95#汽油罐1个，油罐容积均为30m3，均采用埋地卧式SF双层油罐，油罐固定于地下整体浇筑钢筋混凝土结构的底座上，罐顶距地面（埋深）1.3m。该项目总投资</w:t>
      </w:r>
      <w:r>
        <w:rPr>
          <w:rFonts w:hint="eastAsia" w:ascii="仿宋" w:hAnsi="仿宋" w:eastAsia="仿宋" w:cs="仿宋"/>
          <w:sz w:val="32"/>
          <w:szCs w:val="32"/>
          <w:lang w:val="en-US" w:eastAsia="zh-CN"/>
        </w:rPr>
        <w:t>2500</w:t>
      </w:r>
      <w:r>
        <w:rPr>
          <w:rFonts w:hint="eastAsia" w:ascii="仿宋" w:hAnsi="仿宋" w:eastAsia="仿宋" w:cs="仿宋"/>
          <w:sz w:val="32"/>
          <w:szCs w:val="32"/>
        </w:rPr>
        <w:t>万元，其中环保投资</w:t>
      </w:r>
      <w:r>
        <w:rPr>
          <w:rFonts w:hint="eastAsia" w:ascii="仿宋" w:hAnsi="仿宋" w:eastAsia="仿宋" w:cs="仿宋"/>
          <w:sz w:val="32"/>
          <w:szCs w:val="32"/>
          <w:lang w:val="en-US" w:eastAsia="zh-CN"/>
        </w:rPr>
        <w:t>58</w:t>
      </w:r>
      <w:r>
        <w:rPr>
          <w:rFonts w:hint="eastAsia" w:ascii="仿宋" w:hAnsi="仿宋" w:eastAsia="仿宋" w:cs="仿宋"/>
          <w:sz w:val="32"/>
          <w:szCs w:val="32"/>
        </w:rPr>
        <w:t>万元，占总投资比例的</w:t>
      </w:r>
      <w:r>
        <w:rPr>
          <w:rFonts w:hint="eastAsia" w:ascii="仿宋" w:hAnsi="仿宋" w:eastAsia="仿宋" w:cs="仿宋"/>
          <w:sz w:val="32"/>
          <w:szCs w:val="32"/>
          <w:lang w:val="en-US" w:eastAsia="zh-CN"/>
        </w:rPr>
        <w:t>2.32</w:t>
      </w:r>
      <w:r>
        <w:rPr>
          <w:rFonts w:hint="eastAsia" w:ascii="仿宋" w:hAnsi="仿宋" w:eastAsia="仿宋" w:cs="仿宋"/>
          <w:sz w:val="32"/>
          <w:szCs w:val="32"/>
        </w:rPr>
        <w:t>%。</w:t>
      </w:r>
    </w:p>
    <w:p>
      <w:pPr>
        <w:numPr>
          <w:ilvl w:val="0"/>
          <w:numId w:val="1"/>
        </w:numPr>
        <w:spacing w:line="600" w:lineRule="exact"/>
        <w:ind w:firstLine="566" w:firstLineChars="177"/>
        <w:rPr>
          <w:rFonts w:hint="eastAsia" w:ascii="仿宋" w:hAnsi="仿宋" w:eastAsia="仿宋" w:cs="仿宋"/>
          <w:sz w:val="32"/>
          <w:szCs w:val="32"/>
        </w:rPr>
      </w:pPr>
      <w:r>
        <w:rPr>
          <w:rFonts w:hint="eastAsia" w:ascii="仿宋" w:hAnsi="仿宋" w:eastAsia="仿宋" w:cs="仿宋"/>
          <w:sz w:val="32"/>
          <w:szCs w:val="32"/>
        </w:rPr>
        <w:t>根据</w:t>
      </w:r>
      <w:r>
        <w:rPr>
          <w:rFonts w:hint="eastAsia" w:ascii="仿宋" w:hAnsi="仿宋" w:eastAsia="仿宋" w:cs="仿宋"/>
          <w:sz w:val="32"/>
          <w:szCs w:val="32"/>
          <w:lang w:eastAsia="zh-CN"/>
        </w:rPr>
        <w:t>报告表</w:t>
      </w:r>
      <w:r>
        <w:rPr>
          <w:rFonts w:hint="eastAsia" w:ascii="仿宋" w:hAnsi="仿宋" w:eastAsia="仿宋" w:cs="仿宋"/>
          <w:sz w:val="32"/>
          <w:szCs w:val="32"/>
        </w:rPr>
        <w:t>的评价结论，在全面落实</w:t>
      </w:r>
      <w:r>
        <w:rPr>
          <w:rFonts w:hint="eastAsia" w:ascii="仿宋" w:hAnsi="仿宋" w:eastAsia="仿宋" w:cs="仿宋"/>
          <w:sz w:val="32"/>
          <w:szCs w:val="32"/>
          <w:lang w:eastAsia="zh-CN"/>
        </w:rPr>
        <w:t>报告表</w:t>
      </w:r>
      <w:r>
        <w:rPr>
          <w:rFonts w:hint="eastAsia" w:ascii="仿宋" w:hAnsi="仿宋" w:eastAsia="仿宋" w:cs="仿宋"/>
          <w:sz w:val="32"/>
          <w:szCs w:val="32"/>
        </w:rPr>
        <w:t>中提出的各项污染防治和风险防范措施，并确保污染物排放稳定达标且符合总量要求的前提下，项目按照</w:t>
      </w:r>
      <w:r>
        <w:rPr>
          <w:rFonts w:hint="eastAsia" w:ascii="仿宋" w:hAnsi="仿宋" w:eastAsia="仿宋" w:cs="仿宋"/>
          <w:sz w:val="32"/>
          <w:szCs w:val="32"/>
          <w:lang w:eastAsia="zh-CN"/>
        </w:rPr>
        <w:t>报告表</w:t>
      </w:r>
      <w:r>
        <w:rPr>
          <w:rFonts w:hint="eastAsia" w:ascii="仿宋" w:hAnsi="仿宋" w:eastAsia="仿宋" w:cs="仿宋"/>
          <w:sz w:val="32"/>
          <w:szCs w:val="32"/>
        </w:rPr>
        <w:t>中所列性质、规模、地点和拟采取的环境保护措施进行建设，从环境保护角度可行。我局原则通过对报告</w:t>
      </w:r>
      <w:r>
        <w:rPr>
          <w:rFonts w:hint="eastAsia" w:ascii="仿宋" w:hAnsi="仿宋" w:eastAsia="仿宋" w:cs="仿宋"/>
          <w:sz w:val="32"/>
          <w:szCs w:val="32"/>
          <w:lang w:eastAsia="zh-CN"/>
        </w:rPr>
        <w:t>表</w:t>
      </w:r>
      <w:r>
        <w:rPr>
          <w:rFonts w:hint="eastAsia" w:ascii="仿宋" w:hAnsi="仿宋" w:eastAsia="仿宋" w:cs="仿宋"/>
          <w:sz w:val="32"/>
          <w:szCs w:val="32"/>
        </w:rPr>
        <w:t>的审查，你公司应按照报告</w:t>
      </w:r>
      <w:r>
        <w:rPr>
          <w:rFonts w:hint="eastAsia" w:ascii="仿宋" w:hAnsi="仿宋" w:eastAsia="仿宋" w:cs="仿宋"/>
          <w:sz w:val="32"/>
          <w:szCs w:val="32"/>
          <w:lang w:eastAsia="zh-CN"/>
        </w:rPr>
        <w:t>表</w:t>
      </w:r>
      <w:r>
        <w:rPr>
          <w:rFonts w:hint="eastAsia" w:ascii="仿宋" w:hAnsi="仿宋" w:eastAsia="仿宋" w:cs="仿宋"/>
          <w:sz w:val="32"/>
          <w:szCs w:val="32"/>
        </w:rPr>
        <w:t>内容组织实施。</w:t>
      </w:r>
    </w:p>
    <w:p>
      <w:pPr>
        <w:spacing w:line="600" w:lineRule="exact"/>
        <w:ind w:firstLine="566" w:firstLineChars="177"/>
        <w:rPr>
          <w:rFonts w:hint="eastAsia" w:ascii="仿宋" w:hAnsi="仿宋" w:eastAsia="仿宋" w:cs="仿宋"/>
          <w:sz w:val="32"/>
          <w:szCs w:val="32"/>
        </w:rPr>
      </w:pPr>
      <w:r>
        <w:rPr>
          <w:rFonts w:hint="eastAsia" w:ascii="仿宋" w:hAnsi="仿宋" w:eastAsia="仿宋" w:cs="仿宋"/>
          <w:sz w:val="32"/>
          <w:szCs w:val="32"/>
        </w:rPr>
        <w:t>三、项目建设和运营中还应重点做好以下工作：</w:t>
      </w:r>
    </w:p>
    <w:p>
      <w:pPr>
        <w:spacing w:line="600" w:lineRule="exact"/>
        <w:ind w:firstLine="566" w:firstLineChars="177"/>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一</w:t>
      </w:r>
      <w:r>
        <w:rPr>
          <w:rFonts w:hint="eastAsia" w:ascii="仿宋" w:hAnsi="仿宋" w:eastAsia="仿宋" w:cs="仿宋"/>
          <w:sz w:val="32"/>
          <w:szCs w:val="32"/>
        </w:rPr>
        <w:t>）该项目须加强环保管理和“三废”防治设施维护，严格按照环评的要求做好各项污染防治措施，</w:t>
      </w:r>
      <w:r>
        <w:rPr>
          <w:rFonts w:hint="eastAsia" w:ascii="仿宋" w:hAnsi="仿宋" w:eastAsia="仿宋" w:cs="仿宋"/>
          <w:sz w:val="32"/>
          <w:szCs w:val="32"/>
          <w:lang w:eastAsia="zh-CN"/>
        </w:rPr>
        <w:t>确保</w:t>
      </w:r>
      <w:r>
        <w:rPr>
          <w:rFonts w:hint="eastAsia" w:ascii="仿宋" w:hAnsi="仿宋" w:eastAsia="仿宋" w:cs="仿宋"/>
          <w:sz w:val="32"/>
          <w:szCs w:val="32"/>
        </w:rPr>
        <w:t>项目固废得到有效处置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各类污染物</w:t>
      </w:r>
      <w:r>
        <w:rPr>
          <w:rFonts w:hint="eastAsia" w:ascii="仿宋" w:hAnsi="仿宋" w:eastAsia="仿宋" w:cs="仿宋"/>
          <w:sz w:val="32"/>
          <w:szCs w:val="32"/>
        </w:rPr>
        <w:t>稳定达标排放。</w:t>
      </w:r>
    </w:p>
    <w:p>
      <w:pPr>
        <w:spacing w:line="600" w:lineRule="exact"/>
        <w:ind w:firstLine="566" w:firstLineChars="177"/>
        <w:rPr>
          <w:rFonts w:hint="eastAsia" w:ascii="仿宋" w:hAnsi="仿宋" w:eastAsia="仿宋" w:cs="仿宋"/>
          <w:sz w:val="32"/>
          <w:szCs w:val="32"/>
          <w:lang w:eastAsia="zh-CN"/>
        </w:rPr>
      </w:pPr>
      <w:r>
        <w:rPr>
          <w:rFonts w:hint="eastAsia" w:ascii="仿宋" w:hAnsi="仿宋" w:eastAsia="仿宋" w:cs="仿宋"/>
          <w:sz w:val="32"/>
          <w:szCs w:val="32"/>
        </w:rPr>
        <w:t>（</w:t>
      </w:r>
      <w:r>
        <w:rPr>
          <w:rFonts w:hint="eastAsia" w:ascii="仿宋" w:hAnsi="仿宋" w:eastAsia="仿宋" w:cs="仿宋"/>
          <w:sz w:val="32"/>
          <w:szCs w:val="32"/>
          <w:lang w:eastAsia="zh-CN"/>
        </w:rPr>
        <w:t>二</w:t>
      </w:r>
      <w:r>
        <w:rPr>
          <w:rFonts w:hint="eastAsia" w:ascii="仿宋" w:hAnsi="仿宋" w:eastAsia="仿宋" w:cs="仿宋"/>
          <w:sz w:val="32"/>
          <w:szCs w:val="32"/>
        </w:rPr>
        <w:t>）</w:t>
      </w:r>
      <w:r>
        <w:rPr>
          <w:rFonts w:hint="eastAsia" w:ascii="仿宋" w:hAnsi="仿宋" w:eastAsia="仿宋" w:cs="仿宋"/>
          <w:sz w:val="32"/>
          <w:szCs w:val="32"/>
          <w:lang w:eastAsia="zh-CN"/>
        </w:rPr>
        <w:t>该项目固体废物需严格按环评要求妥善处置，如实记录产生固体废物的种类、数量、利用、贮存、处置、流向等信息，并建立管理台帐，存档备查；生活垃圾定点收集，交由环卫部门定期清运。</w:t>
      </w:r>
    </w:p>
    <w:p>
      <w:pPr>
        <w:spacing w:line="600" w:lineRule="exact"/>
        <w:ind w:firstLine="566" w:firstLineChars="177"/>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w:t>
      </w:r>
      <w:r>
        <w:rPr>
          <w:rFonts w:hint="eastAsia" w:ascii="仿宋" w:hAnsi="仿宋" w:eastAsia="仿宋" w:cs="仿宋"/>
          <w:sz w:val="32"/>
          <w:szCs w:val="32"/>
        </w:rPr>
        <w:t>该项目须加强危险废物的管理</w:t>
      </w:r>
      <w:r>
        <w:rPr>
          <w:rFonts w:hint="eastAsia" w:ascii="仿宋" w:hAnsi="仿宋" w:eastAsia="仿宋" w:cs="仿宋"/>
          <w:sz w:val="32"/>
          <w:szCs w:val="32"/>
          <w:lang w:eastAsia="zh-CN"/>
        </w:rPr>
        <w:t>，</w:t>
      </w:r>
      <w:r>
        <w:rPr>
          <w:rFonts w:hint="eastAsia" w:ascii="仿宋" w:hAnsi="仿宋" w:eastAsia="仿宋" w:cs="仿宋"/>
          <w:sz w:val="32"/>
          <w:szCs w:val="32"/>
        </w:rPr>
        <w:t>交由有资质的单位进行安全处置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并</w:t>
      </w:r>
      <w:r>
        <w:rPr>
          <w:rFonts w:hint="eastAsia" w:ascii="仿宋" w:hAnsi="仿宋" w:eastAsia="仿宋" w:cs="仿宋"/>
          <w:sz w:val="32"/>
          <w:szCs w:val="32"/>
        </w:rPr>
        <w:t>建立危险废物管理台账，存档备查。</w:t>
      </w:r>
    </w:p>
    <w:p>
      <w:pPr>
        <w:spacing w:line="600" w:lineRule="exact"/>
        <w:ind w:firstLine="566" w:firstLineChars="177"/>
        <w:rPr>
          <w:rFonts w:hint="eastAsia" w:ascii="仿宋" w:hAnsi="仿宋" w:eastAsia="仿宋" w:cs="仿宋"/>
          <w:sz w:val="32"/>
          <w:szCs w:val="32"/>
          <w:lang w:eastAsia="zh-CN"/>
        </w:rPr>
      </w:pPr>
      <w:r>
        <w:rPr>
          <w:rFonts w:hint="eastAsia" w:ascii="仿宋" w:hAnsi="仿宋" w:eastAsia="仿宋" w:cs="仿宋"/>
          <w:sz w:val="32"/>
          <w:szCs w:val="32"/>
          <w:lang w:val="en-US" w:eastAsia="zh-CN"/>
        </w:rPr>
        <w:t>（四）本项目</w:t>
      </w:r>
      <w:r>
        <w:rPr>
          <w:rFonts w:hint="eastAsia" w:ascii="仿宋" w:hAnsi="仿宋" w:eastAsia="仿宋" w:cs="仿宋"/>
          <w:sz w:val="32"/>
          <w:szCs w:val="32"/>
        </w:rPr>
        <w:t>汽车尾气执行广东省地方标准《大气污染物排放限值》（DB44/27-2001）第二时段二级标准及无组织监控浓度限值；加油站回收装置排气口的油气（非甲烷总烃）排放执行《加油站大气污染物排放标准》（GB20952</w:t>
      </w:r>
      <w:r>
        <w:rPr>
          <w:rFonts w:hint="eastAsia" w:ascii="仿宋" w:hAnsi="仿宋" w:eastAsia="仿宋" w:cs="仿宋"/>
          <w:sz w:val="32"/>
          <w:szCs w:val="32"/>
          <w:lang w:val="en-US" w:eastAsia="zh-CN"/>
        </w:rPr>
        <w:t>-</w:t>
      </w:r>
      <w:r>
        <w:rPr>
          <w:rFonts w:hint="eastAsia" w:ascii="仿宋" w:hAnsi="仿宋" w:eastAsia="仿宋" w:cs="仿宋"/>
          <w:sz w:val="32"/>
          <w:szCs w:val="32"/>
        </w:rPr>
        <w:t>2020）；非甲烷总烃厂界无组织排放执行广东省地方标准《大气污染物排放限值》（DB44/27-2001）第二时段无组织监控浓度限值；站区内非甲烷总烃无组织排放执行《挥发性有机物无组织排放控制标准》（GB37822-2019）</w:t>
      </w:r>
      <w:r>
        <w:rPr>
          <w:rFonts w:hint="eastAsia" w:ascii="仿宋" w:hAnsi="仿宋" w:eastAsia="仿宋" w:cs="仿宋"/>
          <w:sz w:val="32"/>
          <w:szCs w:val="32"/>
          <w:lang w:eastAsia="zh-CN"/>
        </w:rPr>
        <w:t>；</w:t>
      </w:r>
      <w:r>
        <w:rPr>
          <w:rFonts w:hint="eastAsia" w:ascii="仿宋" w:hAnsi="仿宋" w:eastAsia="仿宋" w:cs="仿宋"/>
          <w:sz w:val="32"/>
          <w:szCs w:val="32"/>
        </w:rPr>
        <w:t>项目生活污水经预处理达到广东省地方标准《水污染物排放限值》（DB44/26-2001）第二时段三级标准后，经市政污水管网进入霞山水质净化厂</w:t>
      </w:r>
      <w:r>
        <w:rPr>
          <w:rFonts w:hint="eastAsia" w:ascii="仿宋" w:hAnsi="仿宋" w:eastAsia="仿宋" w:cs="仿宋"/>
          <w:sz w:val="32"/>
          <w:szCs w:val="32"/>
          <w:lang w:eastAsia="zh-CN"/>
        </w:rPr>
        <w:t>；</w:t>
      </w:r>
      <w:r>
        <w:rPr>
          <w:rFonts w:hint="eastAsia" w:ascii="仿宋" w:hAnsi="仿宋" w:eastAsia="仿宋" w:cs="仿宋"/>
          <w:sz w:val="32"/>
          <w:szCs w:val="32"/>
        </w:rPr>
        <w:t>项目东北面场界噪声执行《工业企业厂界环境噪声排放标准》（GB12348-2008）中4类标准（昼间≤70dB（A）、夜间≤55dB（A））；东南、西南及西北场界噪声执行《工业企业厂界环境噪声排放标准》（GB12348-2008）中2类标准（昼间≤60dB（A）、夜间≤50dB（A））</w:t>
      </w:r>
      <w:r>
        <w:rPr>
          <w:rFonts w:hint="eastAsia" w:ascii="仿宋" w:hAnsi="仿宋" w:eastAsia="仿宋" w:cs="仿宋"/>
          <w:sz w:val="32"/>
          <w:szCs w:val="32"/>
          <w:lang w:eastAsia="zh-CN"/>
        </w:rPr>
        <w:t>。</w:t>
      </w:r>
    </w:p>
    <w:p>
      <w:pPr>
        <w:spacing w:line="600" w:lineRule="exact"/>
        <w:ind w:firstLine="566" w:firstLineChars="177"/>
        <w:rPr>
          <w:rFonts w:hint="default"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）本项目运营期间</w:t>
      </w:r>
      <w:r>
        <w:rPr>
          <w:rFonts w:hint="default" w:ascii="仿宋" w:hAnsi="仿宋" w:eastAsia="仿宋" w:cs="仿宋"/>
          <w:sz w:val="32"/>
          <w:szCs w:val="32"/>
          <w:lang w:eastAsia="zh-CN"/>
        </w:rPr>
        <w:t>须确保油气回收系统正常运行，</w:t>
      </w:r>
      <w:r>
        <w:rPr>
          <w:rFonts w:hint="eastAsia" w:ascii="仿宋" w:hAnsi="仿宋" w:eastAsia="仿宋" w:cs="仿宋"/>
          <w:sz w:val="32"/>
          <w:szCs w:val="32"/>
          <w:lang w:eastAsia="zh-CN"/>
        </w:rPr>
        <w:t>减少挥发性有机物的排放。</w:t>
      </w:r>
    </w:p>
    <w:p>
      <w:pPr>
        <w:spacing w:line="600" w:lineRule="exact"/>
        <w:ind w:firstLine="566" w:firstLineChars="177"/>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）有关污染物总量控制指标须严格按照生态环境部门核定的执行。</w:t>
      </w:r>
    </w:p>
    <w:p>
      <w:pPr>
        <w:spacing w:line="600" w:lineRule="exact"/>
        <w:ind w:firstLine="566" w:firstLineChars="177"/>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、若项目的性质、规模、地点、生产工艺或者防治污染的措施发生重大变动，应重新报批项目的环境影响评价文件。</w:t>
      </w:r>
    </w:p>
    <w:p>
      <w:pPr>
        <w:rPr>
          <w:rFonts w:hint="eastAsia" w:ascii="仿宋" w:hAnsi="仿宋" w:eastAsia="仿宋" w:cs="仿宋"/>
        </w:rPr>
      </w:pPr>
    </w:p>
    <w:p>
      <w:pPr>
        <w:pStyle w:val="6"/>
        <w:rPr>
          <w:rFonts w:hint="eastAsia" w:ascii="仿宋" w:hAnsi="仿宋" w:eastAsia="仿宋" w:cs="仿宋"/>
        </w:rPr>
      </w:pPr>
    </w:p>
    <w:p>
      <w:pPr>
        <w:pStyle w:val="6"/>
        <w:keepNext w:val="0"/>
        <w:keepLines w:val="0"/>
        <w:pageBreakBefore w:val="0"/>
        <w:widowControl w:val="0"/>
        <w:kinsoku/>
        <w:wordWrap/>
        <w:overflowPunct/>
        <w:topLinePunct w:val="0"/>
        <w:autoSpaceDE/>
        <w:autoSpaceDN/>
        <w:bidi w:val="0"/>
        <w:adjustRightInd/>
        <w:snapToGrid/>
        <w:spacing w:line="240" w:lineRule="auto"/>
        <w:ind w:left="0" w:leftChars="0" w:right="629" w:rightChars="0" w:firstLine="0" w:firstLineChars="0"/>
        <w:jc w:val="right"/>
        <w:textAlignment w:val="auto"/>
        <w:rPr>
          <w:rFonts w:hint="eastAsia" w:ascii="仿宋" w:hAnsi="仿宋" w:eastAsia="仿宋" w:cs="仿宋"/>
          <w:sz w:val="32"/>
          <w:szCs w:val="32"/>
          <w:lang w:val="en-US" w:eastAsia="zh-CN"/>
        </w:rPr>
      </w:pPr>
      <w:r>
        <w:rPr>
          <w:rFonts w:hint="eastAsia" w:ascii="仿宋" w:hAnsi="仿宋" w:eastAsia="仿宋" w:cs="仿宋"/>
          <w:lang w:val="en-US" w:eastAsia="zh-CN"/>
        </w:rPr>
        <w:t xml:space="preserve">                 </w:t>
      </w:r>
      <w:r>
        <w:rPr>
          <w:rFonts w:hint="eastAsia" w:ascii="仿宋" w:hAnsi="仿宋" w:eastAsia="仿宋" w:cs="仿宋"/>
          <w:sz w:val="32"/>
          <w:szCs w:val="32"/>
          <w:lang w:val="en-US" w:eastAsia="zh-CN"/>
        </w:rPr>
        <w:t>湛江市生态环境局</w:t>
      </w:r>
    </w:p>
    <w:p>
      <w:pPr>
        <w:ind w:left="4469" w:leftChars="2128" w:firstLine="0" w:firstLineChars="0"/>
        <w:rPr>
          <w:rFonts w:ascii="仿宋_GB2312" w:eastAsia="仿宋_GB2312"/>
          <w:sz w:val="32"/>
          <w:szCs w:val="32"/>
        </w:rPr>
      </w:pPr>
      <w:r>
        <w:rPr>
          <w:rFonts w:hint="eastAsia" w:ascii="仿宋" w:hAnsi="仿宋" w:eastAsia="仿宋" w:cs="仿宋"/>
          <w:sz w:val="32"/>
          <w:szCs w:val="32"/>
          <w:lang w:val="en-US" w:eastAsia="zh-CN"/>
        </w:rPr>
        <w:t xml:space="preserve">        2021年6月2日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89ABA"/>
    <w:multiLevelType w:val="singleLevel"/>
    <w:tmpl w:val="F4C89AB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AB36C2"/>
    <w:rsid w:val="00B67E72"/>
    <w:rsid w:val="00BB5ECF"/>
    <w:rsid w:val="00BE55BA"/>
    <w:rsid w:val="00C00CBA"/>
    <w:rsid w:val="00CA18AB"/>
    <w:rsid w:val="00CD7503"/>
    <w:rsid w:val="00D85488"/>
    <w:rsid w:val="00DB2F5A"/>
    <w:rsid w:val="00DF0E2E"/>
    <w:rsid w:val="00E64860"/>
    <w:rsid w:val="00EE15E9"/>
    <w:rsid w:val="00EE5BFF"/>
    <w:rsid w:val="00F85EA1"/>
    <w:rsid w:val="00FB008A"/>
    <w:rsid w:val="0A99580A"/>
    <w:rsid w:val="0B187C8B"/>
    <w:rsid w:val="0EE7640C"/>
    <w:rsid w:val="104638E4"/>
    <w:rsid w:val="10C65629"/>
    <w:rsid w:val="13E8376E"/>
    <w:rsid w:val="25776CA5"/>
    <w:rsid w:val="2CFD654A"/>
    <w:rsid w:val="32BD0017"/>
    <w:rsid w:val="3BEE10C4"/>
    <w:rsid w:val="442B4798"/>
    <w:rsid w:val="45986459"/>
    <w:rsid w:val="46F97E30"/>
    <w:rsid w:val="513B5092"/>
    <w:rsid w:val="5617744D"/>
    <w:rsid w:val="581466B3"/>
    <w:rsid w:val="5CDE636C"/>
    <w:rsid w:val="5D5A2F7C"/>
    <w:rsid w:val="5EB31BA9"/>
    <w:rsid w:val="645B5C76"/>
    <w:rsid w:val="68360B26"/>
    <w:rsid w:val="6AFB3231"/>
    <w:rsid w:val="73686B95"/>
    <w:rsid w:val="74EF6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20"/>
    </w:rPr>
  </w:style>
  <w:style w:type="paragraph" w:styleId="4">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5">
    <w:name w:val="annotation text"/>
    <w:basedOn w:val="1"/>
    <w:qFormat/>
    <w:uiPriority w:val="0"/>
    <w:pPr>
      <w:jc w:val="left"/>
    </w:pPr>
  </w:style>
  <w:style w:type="paragraph" w:styleId="6">
    <w:name w:val="Body Text"/>
    <w:basedOn w:val="1"/>
    <w:qFormat/>
    <w:uiPriority w:val="0"/>
    <w:pPr>
      <w:spacing w:line="0" w:lineRule="atLeast"/>
    </w:pPr>
    <w:rPr>
      <w:rFonts w:eastAsia="小标宋"/>
      <w:sz w:val="44"/>
    </w:rPr>
  </w:style>
  <w:style w:type="paragraph" w:styleId="7">
    <w:name w:val="Body Text Indent"/>
    <w:basedOn w:val="1"/>
    <w:qFormat/>
    <w:uiPriority w:val="0"/>
    <w:pPr>
      <w:ind w:left="420" w:firstLine="600"/>
    </w:pPr>
    <w:rPr>
      <w:rFonts w:ascii="宋体" w:hAnsi="宋体"/>
      <w:sz w:val="30"/>
    </w:rPr>
  </w:style>
  <w:style w:type="paragraph" w:styleId="8">
    <w:name w:val="Body Text First Indent 2"/>
    <w:basedOn w:val="7"/>
    <w:qFormat/>
    <w:uiPriority w:val="0"/>
    <w:pPr>
      <w:spacing w:after="120"/>
      <w:ind w:leftChars="200" w:firstLine="420" w:firstLineChars="200"/>
    </w:pPr>
    <w:rPr>
      <w:sz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0-Meng"/>
    <w:basedOn w:val="1"/>
    <w:next w:val="1"/>
    <w:qFormat/>
    <w:uiPriority w:val="0"/>
    <w:pPr>
      <w:spacing w:line="360" w:lineRule="auto"/>
      <w:ind w:firstLine="200" w:firstLineChars="200"/>
    </w:pPr>
    <w:rPr>
      <w:color w:val="000000"/>
      <w:sz w:val="24"/>
      <w:szCs w:val="24"/>
    </w:rPr>
  </w:style>
  <w:style w:type="paragraph" w:customStyle="1" w:styleId="13">
    <w:name w:val="0正文"/>
    <w:qFormat/>
    <w:uiPriority w:val="99"/>
    <w:pPr>
      <w:widowControl w:val="0"/>
      <w:spacing w:line="360" w:lineRule="auto"/>
      <w:ind w:firstLine="720" w:firstLineChars="200"/>
    </w:pPr>
    <w:rPr>
      <w:rFonts w:ascii="Calibri" w:hAnsi="Calibri"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88</Words>
  <Characters>503</Characters>
  <Lines>4</Lines>
  <Paragraphs>1</Paragraphs>
  <TotalTime>73</TotalTime>
  <ScaleCrop>false</ScaleCrop>
  <LinksUpToDate>false</LinksUpToDate>
  <CharactersWithSpaces>590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2021-06-08T06:56:42Z</cp:lastPrinted>
  <dcterms:modified xsi:type="dcterms:W3CDTF">2021-06-08T10:57:47Z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01BF6F8AD2FF472F9D64145E10446118</vt:lpwstr>
  </property>
</Properties>
</file>