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ind w:firstLine="5120" w:firstLineChars="1600"/>
        <w:textAlignment w:val="auto"/>
        <w:rPr>
          <w:rFonts w:ascii="仿宋_GB2312" w:eastAsia="仿宋_GB2312"/>
          <w:sz w:val="32"/>
          <w:szCs w:val="32"/>
        </w:rPr>
      </w:pPr>
      <w:r>
        <w:rPr>
          <w:rFonts w:hint="eastAsia" w:ascii="仿宋_GB2312" w:eastAsia="仿宋_GB2312"/>
          <w:sz w:val="32"/>
          <w:szCs w:val="32"/>
        </w:rPr>
        <w:t>湛</w:t>
      </w:r>
      <w:r>
        <w:rPr>
          <w:rFonts w:hint="eastAsia" w:ascii="仿宋_GB2312" w:eastAsia="仿宋_GB2312"/>
          <w:sz w:val="32"/>
          <w:szCs w:val="32"/>
          <w:lang w:eastAsia="zh-CN"/>
        </w:rPr>
        <w:t>环建霞</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w:t>
      </w:r>
      <w:r>
        <w:rPr>
          <w:rFonts w:hint="eastAsia" w:ascii="仿宋_GB2312" w:eastAsia="仿宋_GB2312"/>
          <w:sz w:val="32"/>
          <w:szCs w:val="32"/>
          <w:lang w:val="en-US" w:eastAsia="zh-CN"/>
        </w:rPr>
        <w:t>26</w:t>
      </w:r>
      <w:r>
        <w:rPr>
          <w:rFonts w:hint="eastAsia" w:ascii="仿宋_GB2312" w:eastAsia="仿宋_GB2312"/>
          <w:sz w:val="32"/>
          <w:szCs w:val="32"/>
        </w:rPr>
        <w:t>号</w:t>
      </w:r>
    </w:p>
    <w:p>
      <w:pPr>
        <w:pStyle w:val="14"/>
        <w:wordWrap/>
        <w:rPr>
          <w:rFonts w:hint="eastAsia"/>
          <w:sz w:val="15"/>
          <w:szCs w:val="15"/>
        </w:rPr>
      </w:pPr>
    </w:p>
    <w:p>
      <w:pPr>
        <w:spacing w:line="520" w:lineRule="exact"/>
        <w:jc w:val="center"/>
        <w:rPr>
          <w:rFonts w:ascii="小标宋" w:eastAsia="小标宋"/>
          <w:sz w:val="44"/>
          <w:szCs w:val="44"/>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湛江市物资再生利用公司拆解报废车辆迁建</w:t>
      </w:r>
      <w:r>
        <w:rPr>
          <w:rFonts w:hint="eastAsia" w:ascii="方正小标宋简体" w:hAnsi="方正小标宋简体" w:eastAsia="方正小标宋简体" w:cs="方正小标宋简体"/>
          <w:sz w:val="44"/>
          <w:szCs w:val="44"/>
        </w:rPr>
        <w:t>环境影响报告表的批复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湛江市物资再生利用公司</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val="en-US" w:eastAsia="zh-CN"/>
        </w:rPr>
        <w:t>公司报批的《湛江市物资再生利用公司拆解报废车辆迁建项目环境影响报告表》（</w:t>
      </w:r>
      <w:r>
        <w:rPr>
          <w:rFonts w:hint="eastAsia" w:ascii="仿宋_GB2312" w:hAnsi="仿宋_GB2312" w:eastAsia="仿宋_GB2312" w:cs="仿宋_GB2312"/>
          <w:sz w:val="32"/>
          <w:szCs w:val="32"/>
        </w:rPr>
        <w:t>以下简称“报告表”）等材料收悉。经研究，批复如下：</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项目位于</w:t>
      </w:r>
      <w:r>
        <w:rPr>
          <w:rFonts w:hint="eastAsia" w:ascii="仿宋_GB2312" w:hAnsi="仿宋_GB2312" w:eastAsia="仿宋_GB2312" w:cs="仿宋_GB2312"/>
          <w:sz w:val="32"/>
          <w:szCs w:val="32"/>
          <w:lang w:val="en-US" w:eastAsia="zh-CN"/>
        </w:rPr>
        <w:t>湛江市原湖光路24号（现新湖大道）广东半球燃气器具工业公司西北角，属于迁建项目，</w:t>
      </w:r>
      <w:r>
        <w:rPr>
          <w:rFonts w:hint="default" w:ascii="仿宋_GB2312" w:hAnsi="仿宋_GB2312" w:eastAsia="仿宋_GB2312" w:cs="仿宋_GB2312"/>
          <w:sz w:val="32"/>
          <w:szCs w:val="32"/>
          <w:lang w:val="en-US" w:eastAsia="zh-CN"/>
        </w:rPr>
        <w:t>项目建成后</w:t>
      </w:r>
      <w:r>
        <w:rPr>
          <w:rFonts w:hint="eastAsia" w:ascii="仿宋_GB2312" w:hAnsi="仿宋_GB2312" w:eastAsia="仿宋_GB2312" w:cs="仿宋_GB2312"/>
          <w:sz w:val="32"/>
          <w:szCs w:val="32"/>
          <w:lang w:val="en-US" w:eastAsia="zh-CN"/>
        </w:rPr>
        <w:t>年拆解报废车辆25000辆</w:t>
      </w:r>
      <w:r>
        <w:rPr>
          <w:rFonts w:hint="default" w:ascii="仿宋_GB2312" w:hAnsi="仿宋_GB2312" w:eastAsia="仿宋_GB2312" w:cs="仿宋_GB2312"/>
          <w:sz w:val="32"/>
          <w:szCs w:val="32"/>
          <w:lang w:val="en-US" w:eastAsia="zh-CN"/>
        </w:rPr>
        <w:t>。项</w:t>
      </w:r>
      <w:r>
        <w:rPr>
          <w:rFonts w:hint="eastAsia" w:ascii="仿宋_GB2312" w:hAnsi="仿宋_GB2312" w:eastAsia="仿宋_GB2312" w:cs="仿宋_GB2312"/>
          <w:sz w:val="32"/>
          <w:szCs w:val="32"/>
          <w:lang w:val="en-US" w:eastAsia="zh-CN"/>
        </w:rPr>
        <w:t>目主要生产工艺为：报废机动车→检查和登记→拆解预处理→拆解→储存和管理。项目</w:t>
      </w:r>
      <w:r>
        <w:rPr>
          <w:rFonts w:hint="default" w:ascii="仿宋_GB2312" w:hAnsi="仿宋_GB2312" w:eastAsia="仿宋_GB2312" w:cs="仿宋_GB2312"/>
          <w:sz w:val="32"/>
          <w:szCs w:val="32"/>
          <w:lang w:val="en-US" w:eastAsia="zh-CN"/>
        </w:rPr>
        <w:t>占地面积</w:t>
      </w:r>
      <w:r>
        <w:rPr>
          <w:rFonts w:hint="eastAsia" w:ascii="仿宋_GB2312" w:hAnsi="仿宋_GB2312" w:eastAsia="仿宋_GB2312" w:cs="仿宋_GB2312"/>
          <w:sz w:val="32"/>
          <w:szCs w:val="32"/>
          <w:lang w:val="en-US" w:eastAsia="zh-CN"/>
        </w:rPr>
        <w:t>为28367.9</w:t>
      </w:r>
      <w:r>
        <w:rPr>
          <w:color w:val="auto"/>
          <w:sz w:val="32"/>
          <w:szCs w:val="32"/>
          <w:lang w:val="zh-CN"/>
        </w:rPr>
        <w:t>m</w:t>
      </w:r>
      <w:r>
        <w:rPr>
          <w:color w:val="auto"/>
          <w:sz w:val="32"/>
          <w:szCs w:val="32"/>
          <w:vertAlign w:val="superscript"/>
          <w:lang w:val="zh-CN"/>
        </w:rPr>
        <w:t>2</w:t>
      </w:r>
      <w:r>
        <w:rPr>
          <w:rFonts w:hint="default" w:ascii="仿宋_GB2312" w:hAnsi="仿宋_GB2312" w:eastAsia="仿宋_GB2312" w:cs="仿宋_GB2312"/>
          <w:sz w:val="32"/>
          <w:szCs w:val="32"/>
          <w:lang w:val="en-US" w:eastAsia="zh-CN"/>
        </w:rPr>
        <w:t>，总投资</w:t>
      </w:r>
      <w:r>
        <w:rPr>
          <w:rFonts w:hint="eastAsia" w:ascii="仿宋_GB2312" w:hAnsi="仿宋_GB2312" w:eastAsia="仿宋_GB2312" w:cs="仿宋_GB2312"/>
          <w:sz w:val="32"/>
          <w:szCs w:val="32"/>
          <w:lang w:val="en-US" w:eastAsia="zh-CN"/>
        </w:rPr>
        <w:t>40</w:t>
      </w:r>
      <w:r>
        <w:rPr>
          <w:rFonts w:hint="default"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lang w:val="en-US" w:eastAsia="zh-CN"/>
        </w:rPr>
        <w:t>0</w:t>
      </w:r>
      <w:r>
        <w:rPr>
          <w:rFonts w:hint="default" w:ascii="仿宋_GB2312" w:hAnsi="仿宋_GB2312" w:eastAsia="仿宋_GB2312" w:cs="仿宋_GB2312"/>
          <w:sz w:val="32"/>
          <w:szCs w:val="32"/>
          <w:lang w:val="en-US" w:eastAsia="zh-CN"/>
        </w:rPr>
        <w:t>万元，其中环保投资</w:t>
      </w:r>
      <w:r>
        <w:rPr>
          <w:rFonts w:hint="eastAsia" w:ascii="仿宋_GB2312" w:hAnsi="仿宋_GB2312" w:eastAsia="仿宋_GB2312" w:cs="仿宋_GB2312"/>
          <w:sz w:val="32"/>
          <w:szCs w:val="32"/>
          <w:lang w:val="en-US" w:eastAsia="zh-CN"/>
        </w:rPr>
        <w:t>80</w:t>
      </w:r>
      <w:r>
        <w:rPr>
          <w:rFonts w:hint="default"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val="en-US" w:eastAsia="zh-CN"/>
        </w:rPr>
        <w:t>项目拟雇佣员工45名，年工作300天，每天工作8小时，每天一班制厂内不设宿舍，设有食堂，食堂每日供应一餐。</w:t>
      </w:r>
      <w:r>
        <w:rPr>
          <w:rFonts w:hint="default" w:ascii="仿宋_GB2312" w:hAnsi="仿宋_GB2312" w:eastAsia="仿宋_GB2312" w:cs="仿宋_GB2312"/>
          <w:sz w:val="32"/>
          <w:szCs w:val="32"/>
          <w:lang w:val="en-US" w:eastAsia="zh-CN"/>
        </w:rPr>
        <w:t>项目主要建设内容</w:t>
      </w:r>
      <w:r>
        <w:rPr>
          <w:rFonts w:hint="eastAsia" w:ascii="仿宋_GB2312" w:hAnsi="仿宋_GB2312" w:eastAsia="仿宋_GB2312" w:cs="仿宋_GB2312"/>
          <w:sz w:val="32"/>
          <w:szCs w:val="32"/>
          <w:lang w:val="en-US" w:eastAsia="zh-CN"/>
        </w:rPr>
        <w:t>及规模</w:t>
      </w:r>
      <w:r>
        <w:rPr>
          <w:rFonts w:hint="default" w:ascii="仿宋_GB2312" w:hAnsi="仿宋_GB2312" w:eastAsia="仿宋_GB2312" w:cs="仿宋_GB2312"/>
          <w:sz w:val="32"/>
          <w:szCs w:val="32"/>
          <w:lang w:val="en-US" w:eastAsia="zh-CN"/>
        </w:rPr>
        <w:t>见</w:t>
      </w:r>
      <w:r>
        <w:rPr>
          <w:rFonts w:hint="default" w:ascii="仿宋_GB2312" w:hAnsi="仿宋_GB2312" w:eastAsia="仿宋_GB2312" w:cs="仿宋_GB2312"/>
          <w:sz w:val="32"/>
          <w:szCs w:val="32"/>
          <w:lang w:val="en-US" w:eastAsia="zh-CN"/>
        </w:rPr>
        <w:fldChar w:fldCharType="begin"/>
      </w:r>
      <w:r>
        <w:rPr>
          <w:rFonts w:hint="default" w:ascii="仿宋_GB2312" w:hAnsi="仿宋_GB2312" w:eastAsia="仿宋_GB2312" w:cs="仿宋_GB2312"/>
          <w:sz w:val="32"/>
          <w:szCs w:val="32"/>
          <w:lang w:val="en-US" w:eastAsia="zh-CN"/>
        </w:rPr>
        <w:instrText xml:space="preserve"> REF _Ref1741030331 \h </w:instrText>
      </w:r>
      <w:r>
        <w:rPr>
          <w:rFonts w:hint="default" w:ascii="仿宋_GB2312" w:hAnsi="仿宋_GB2312" w:eastAsia="仿宋_GB2312" w:cs="仿宋_GB2312"/>
          <w:sz w:val="32"/>
          <w:szCs w:val="32"/>
          <w:lang w:val="en-US" w:eastAsia="zh-CN"/>
        </w:rPr>
        <w:fldChar w:fldCharType="separate"/>
      </w:r>
      <w:r>
        <w:rPr>
          <w:rFonts w:hint="default" w:ascii="仿宋_GB2312" w:hAnsi="仿宋_GB2312" w:eastAsia="仿宋_GB2312" w:cs="仿宋_GB2312"/>
          <w:sz w:val="32"/>
          <w:szCs w:val="32"/>
          <w:lang w:val="en-US" w:eastAsia="zh-CN"/>
        </w:rPr>
        <w:t>表1</w:t>
      </w:r>
      <w:r>
        <w:rPr>
          <w:rFonts w:hint="default" w:ascii="仿宋_GB2312" w:hAnsi="仿宋_GB2312" w:eastAsia="仿宋_GB2312" w:cs="仿宋_GB2312"/>
          <w:sz w:val="32"/>
          <w:szCs w:val="32"/>
          <w:lang w:val="en-US" w:eastAsia="zh-CN"/>
        </w:rPr>
        <w:fldChar w:fldCharType="end"/>
      </w:r>
      <w:r>
        <w:rPr>
          <w:rFonts w:hint="default"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before="157" w:beforeLines="50" w:line="360" w:lineRule="auto"/>
        <w:jc w:val="center"/>
        <w:textAlignment w:val="auto"/>
        <w:rPr>
          <w:b/>
          <w:bCs/>
          <w:color w:val="auto"/>
          <w:sz w:val="24"/>
        </w:rPr>
      </w:pPr>
      <w:r>
        <w:rPr>
          <w:b/>
          <w:bCs/>
          <w:color w:val="auto"/>
          <w:sz w:val="24"/>
        </w:rPr>
        <w:t>表</w:t>
      </w:r>
      <w:r>
        <w:rPr>
          <w:rFonts w:hint="eastAsia"/>
          <w:b/>
          <w:bCs/>
          <w:color w:val="auto"/>
          <w:sz w:val="24"/>
          <w:lang w:val="en-US" w:eastAsia="zh-CN"/>
        </w:rPr>
        <w:t>1</w:t>
      </w:r>
      <w:r>
        <w:rPr>
          <w:b/>
          <w:bCs/>
          <w:color w:val="auto"/>
          <w:sz w:val="24"/>
        </w:rPr>
        <w:t xml:space="preserve">  项目主要建设内容及规模</w:t>
      </w:r>
    </w:p>
    <w:tbl>
      <w:tblPr>
        <w:tblStyle w:val="16"/>
        <w:tblW w:w="8350"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363"/>
        <w:gridCol w:w="5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noWrap w:val="0"/>
            <w:vAlign w:val="center"/>
          </w:tcPr>
          <w:p>
            <w:pPr>
              <w:jc w:val="center"/>
            </w:pPr>
            <w:r>
              <w:rPr>
                <w:rFonts w:hint="eastAsia"/>
              </w:rPr>
              <w:t>工程类别</w:t>
            </w:r>
          </w:p>
        </w:tc>
        <w:tc>
          <w:tcPr>
            <w:tcW w:w="1363" w:type="dxa"/>
            <w:noWrap w:val="0"/>
            <w:vAlign w:val="center"/>
          </w:tcPr>
          <w:p>
            <w:pPr>
              <w:jc w:val="center"/>
            </w:pPr>
            <w:r>
              <w:rPr>
                <w:rFonts w:hint="eastAsia"/>
              </w:rPr>
              <w:t>工程名称</w:t>
            </w:r>
          </w:p>
        </w:tc>
        <w:tc>
          <w:tcPr>
            <w:tcW w:w="5899" w:type="dxa"/>
            <w:noWrap w:val="0"/>
            <w:vAlign w:val="center"/>
          </w:tcPr>
          <w:p>
            <w:pPr>
              <w:jc w:val="center"/>
            </w:pPr>
            <w:r>
              <w:rPr>
                <w:rFonts w:hint="eastAsia"/>
              </w:rPr>
              <w:t>主要工程内容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noWrap w:val="0"/>
            <w:vAlign w:val="center"/>
          </w:tcPr>
          <w:p>
            <w:pPr>
              <w:jc w:val="center"/>
              <w:rPr>
                <w:rFonts w:hint="eastAsia"/>
              </w:rPr>
            </w:pPr>
            <w:r>
              <w:rPr>
                <w:rFonts w:hint="eastAsia"/>
              </w:rPr>
              <w:t>主体工程</w:t>
            </w:r>
          </w:p>
        </w:tc>
        <w:tc>
          <w:tcPr>
            <w:tcW w:w="1363" w:type="dxa"/>
            <w:noWrap w:val="0"/>
            <w:vAlign w:val="center"/>
          </w:tcPr>
          <w:p>
            <w:pPr>
              <w:jc w:val="center"/>
              <w:rPr>
                <w:rFonts w:hint="eastAsia"/>
              </w:rPr>
            </w:pPr>
            <w:r>
              <w:rPr>
                <w:rFonts w:hint="eastAsia"/>
              </w:rPr>
              <w:t>拆解车间</w:t>
            </w:r>
          </w:p>
        </w:tc>
        <w:tc>
          <w:tcPr>
            <w:tcW w:w="5899" w:type="dxa"/>
            <w:noWrap w:val="0"/>
            <w:vAlign w:val="center"/>
          </w:tcPr>
          <w:p>
            <w:pPr>
              <w:jc w:val="center"/>
              <w:rPr>
                <w:vertAlign w:val="superscript"/>
              </w:rPr>
            </w:pPr>
            <w:r>
              <w:rPr>
                <w:rFonts w:hint="eastAsia"/>
              </w:rPr>
              <w:t>占地面积2739m</w:t>
            </w:r>
            <w:r>
              <w:rPr>
                <w:rFonts w:hint="eastAsia"/>
                <w:vertAlign w:val="superscript"/>
              </w:rPr>
              <w:t>2</w:t>
            </w:r>
            <w:r>
              <w:rPr>
                <w:rFonts w:hint="eastAsia"/>
              </w:rPr>
              <w:t>，建筑面积</w:t>
            </w:r>
            <w:r>
              <w:t>为</w:t>
            </w:r>
            <w:r>
              <w:rPr>
                <w:rFonts w:hint="eastAsia"/>
              </w:rPr>
              <w:t>2739</w:t>
            </w:r>
            <w:r>
              <w:t>m</w:t>
            </w:r>
            <w:r>
              <w:rPr>
                <w:vertAlign w:val="superscript"/>
              </w:rPr>
              <w:t>2</w:t>
            </w:r>
            <w:r>
              <w:rPr>
                <w:rFonts w:hint="eastAsia"/>
              </w:rPr>
              <w:t>的1层</w:t>
            </w:r>
            <w:r>
              <w:t>厂房</w:t>
            </w:r>
            <w:r>
              <w:rPr>
                <w:rFonts w:hint="eastAsia"/>
              </w:rPr>
              <w:t>，高12.25m</w:t>
            </w:r>
            <w:r>
              <w:t>，</w:t>
            </w:r>
            <w:r>
              <w:rPr>
                <w:rFonts w:hint="eastAsia"/>
              </w:rPr>
              <w:t>用于汽车拆解，位于场地西侧。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restart"/>
            <w:noWrap w:val="0"/>
            <w:vAlign w:val="center"/>
          </w:tcPr>
          <w:p>
            <w:pPr>
              <w:jc w:val="center"/>
              <w:rPr>
                <w:rFonts w:hint="eastAsia"/>
              </w:rPr>
            </w:pPr>
            <w:r>
              <w:rPr>
                <w:rFonts w:hint="eastAsia"/>
              </w:rPr>
              <w:t>辅助工程</w:t>
            </w:r>
          </w:p>
        </w:tc>
        <w:tc>
          <w:tcPr>
            <w:tcW w:w="1363" w:type="dxa"/>
            <w:noWrap w:val="0"/>
            <w:vAlign w:val="center"/>
          </w:tcPr>
          <w:p>
            <w:pPr>
              <w:jc w:val="center"/>
              <w:rPr>
                <w:rFonts w:hint="eastAsia"/>
              </w:rPr>
            </w:pPr>
            <w:r>
              <w:rPr>
                <w:rFonts w:hint="eastAsia"/>
              </w:rPr>
              <w:t>废旧配件存放区</w:t>
            </w:r>
          </w:p>
        </w:tc>
        <w:tc>
          <w:tcPr>
            <w:tcW w:w="5899" w:type="dxa"/>
            <w:noWrap w:val="0"/>
            <w:vAlign w:val="center"/>
          </w:tcPr>
          <w:p>
            <w:pPr>
              <w:jc w:val="center"/>
              <w:rPr>
                <w:rFonts w:hint="eastAsia"/>
              </w:rPr>
            </w:pPr>
            <w:r>
              <w:rPr>
                <w:rFonts w:hint="eastAsia"/>
              </w:rPr>
              <w:t>占地面积1548m</w:t>
            </w:r>
            <w:r>
              <w:rPr>
                <w:rFonts w:hint="eastAsia"/>
                <w:vertAlign w:val="superscript"/>
              </w:rPr>
              <w:t>2</w:t>
            </w:r>
            <w:r>
              <w:rPr>
                <w:rFonts w:hint="eastAsia"/>
              </w:rPr>
              <w:t>，建筑面积</w:t>
            </w:r>
            <w:r>
              <w:t>为</w:t>
            </w:r>
            <w:r>
              <w:rPr>
                <w:rFonts w:hint="eastAsia"/>
              </w:rPr>
              <w:t>1548</w:t>
            </w:r>
            <w:r>
              <w:t>m</w:t>
            </w:r>
            <w:r>
              <w:rPr>
                <w:vertAlign w:val="superscript"/>
              </w:rPr>
              <w:t>2</w:t>
            </w:r>
            <w:r>
              <w:rPr>
                <w:rFonts w:hint="eastAsia"/>
              </w:rPr>
              <w:t>的1层仓库，高7.2m，位于场地东北侧.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continue"/>
            <w:noWrap w:val="0"/>
            <w:vAlign w:val="center"/>
          </w:tcPr>
          <w:p>
            <w:pPr>
              <w:jc w:val="center"/>
              <w:rPr>
                <w:rFonts w:hint="eastAsia"/>
              </w:rPr>
            </w:pPr>
          </w:p>
        </w:tc>
        <w:tc>
          <w:tcPr>
            <w:tcW w:w="1363" w:type="dxa"/>
            <w:noWrap w:val="0"/>
            <w:vAlign w:val="center"/>
          </w:tcPr>
          <w:p>
            <w:pPr>
              <w:jc w:val="center"/>
            </w:pPr>
            <w:r>
              <w:rPr>
                <w:rFonts w:hint="eastAsia"/>
              </w:rPr>
              <w:t>废旧配件仓库1</w:t>
            </w:r>
          </w:p>
        </w:tc>
        <w:tc>
          <w:tcPr>
            <w:tcW w:w="5899" w:type="dxa"/>
            <w:noWrap w:val="0"/>
            <w:vAlign w:val="center"/>
          </w:tcPr>
          <w:p>
            <w:pPr>
              <w:jc w:val="center"/>
              <w:rPr>
                <w:rFonts w:hint="eastAsia"/>
              </w:rPr>
            </w:pPr>
            <w:r>
              <w:rPr>
                <w:rFonts w:hint="eastAsia"/>
              </w:rPr>
              <w:t>占地面积457m</w:t>
            </w:r>
            <w:r>
              <w:rPr>
                <w:rFonts w:hint="eastAsia"/>
                <w:vertAlign w:val="superscript"/>
              </w:rPr>
              <w:t>2</w:t>
            </w:r>
            <w:r>
              <w:rPr>
                <w:rFonts w:hint="eastAsia"/>
              </w:rPr>
              <w:t>，建筑面积</w:t>
            </w:r>
            <w:r>
              <w:t>为</w:t>
            </w:r>
            <w:r>
              <w:rPr>
                <w:rFonts w:hint="eastAsia"/>
              </w:rPr>
              <w:t>457</w:t>
            </w:r>
            <w:r>
              <w:t>m</w:t>
            </w:r>
            <w:r>
              <w:rPr>
                <w:vertAlign w:val="superscript"/>
              </w:rPr>
              <w:t>2</w:t>
            </w:r>
            <w:r>
              <w:rPr>
                <w:rFonts w:hint="eastAsia"/>
              </w:rPr>
              <w:t>的1层仓库，高7.2m，位于废旧仓库存放区北侧。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continue"/>
            <w:noWrap w:val="0"/>
            <w:vAlign w:val="center"/>
          </w:tcPr>
          <w:p>
            <w:pPr>
              <w:jc w:val="center"/>
              <w:rPr>
                <w:rFonts w:hint="eastAsia"/>
              </w:rPr>
            </w:pPr>
          </w:p>
        </w:tc>
        <w:tc>
          <w:tcPr>
            <w:tcW w:w="1363" w:type="dxa"/>
            <w:noWrap w:val="0"/>
            <w:vAlign w:val="center"/>
          </w:tcPr>
          <w:p>
            <w:pPr>
              <w:jc w:val="center"/>
            </w:pPr>
            <w:r>
              <w:rPr>
                <w:rFonts w:hint="eastAsia"/>
              </w:rPr>
              <w:t>废旧配件仓库2</w:t>
            </w:r>
          </w:p>
        </w:tc>
        <w:tc>
          <w:tcPr>
            <w:tcW w:w="5899" w:type="dxa"/>
            <w:noWrap w:val="0"/>
            <w:vAlign w:val="center"/>
          </w:tcPr>
          <w:p>
            <w:pPr>
              <w:jc w:val="center"/>
              <w:rPr>
                <w:rFonts w:hint="eastAsia"/>
              </w:rPr>
            </w:pPr>
            <w:r>
              <w:rPr>
                <w:rFonts w:hint="eastAsia"/>
              </w:rPr>
              <w:t>占地面积452m</w:t>
            </w:r>
            <w:r>
              <w:rPr>
                <w:rFonts w:hint="eastAsia"/>
                <w:vertAlign w:val="superscript"/>
              </w:rPr>
              <w:t>2</w:t>
            </w:r>
            <w:r>
              <w:rPr>
                <w:rFonts w:hint="eastAsia"/>
              </w:rPr>
              <w:t>，建筑面积</w:t>
            </w:r>
            <w:r>
              <w:t>为</w:t>
            </w:r>
            <w:r>
              <w:rPr>
                <w:rFonts w:hint="eastAsia"/>
              </w:rPr>
              <w:t>452</w:t>
            </w:r>
            <w:r>
              <w:t>m</w:t>
            </w:r>
            <w:r>
              <w:rPr>
                <w:vertAlign w:val="superscript"/>
              </w:rPr>
              <w:t>2</w:t>
            </w:r>
            <w:r>
              <w:rPr>
                <w:rFonts w:hint="eastAsia"/>
              </w:rPr>
              <w:t>的1层仓库，高7.2m，位于废旧仓库存放区南侧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continue"/>
            <w:noWrap w:val="0"/>
            <w:vAlign w:val="center"/>
          </w:tcPr>
          <w:p>
            <w:pPr>
              <w:jc w:val="center"/>
              <w:rPr>
                <w:rFonts w:hint="eastAsia"/>
              </w:rPr>
            </w:pPr>
          </w:p>
        </w:tc>
        <w:tc>
          <w:tcPr>
            <w:tcW w:w="1363" w:type="dxa"/>
            <w:noWrap w:val="0"/>
            <w:vAlign w:val="center"/>
          </w:tcPr>
          <w:p>
            <w:pPr>
              <w:jc w:val="center"/>
              <w:rPr>
                <w:rFonts w:hint="eastAsia"/>
              </w:rPr>
            </w:pPr>
            <w:r>
              <w:rPr>
                <w:rFonts w:hint="eastAsia"/>
              </w:rPr>
              <w:t>待拆车检测区</w:t>
            </w:r>
          </w:p>
        </w:tc>
        <w:tc>
          <w:tcPr>
            <w:tcW w:w="5899" w:type="dxa"/>
            <w:noWrap w:val="0"/>
            <w:vAlign w:val="center"/>
          </w:tcPr>
          <w:p>
            <w:pPr>
              <w:jc w:val="center"/>
              <w:rPr>
                <w:rFonts w:hint="eastAsia"/>
              </w:rPr>
            </w:pPr>
            <w:r>
              <w:rPr>
                <w:rFonts w:hint="eastAsia"/>
              </w:rPr>
              <w:t>占地</w:t>
            </w:r>
            <w:r>
              <w:t>面积约为</w:t>
            </w:r>
            <w:r>
              <w:rPr>
                <w:rFonts w:hint="eastAsia"/>
              </w:rPr>
              <w:t>3229</w:t>
            </w:r>
            <w:r>
              <w:t>m</w:t>
            </w:r>
            <w:r>
              <w:rPr>
                <w:vertAlign w:val="superscript"/>
              </w:rPr>
              <w:t>2</w:t>
            </w:r>
            <w:r>
              <w:rPr>
                <w:rFonts w:hint="eastAsia"/>
              </w:rPr>
              <w:t>的</w:t>
            </w:r>
            <w:r>
              <w:t>硬底化场地</w:t>
            </w:r>
            <w:r>
              <w:rPr>
                <w:rFonts w:hint="eastAsia"/>
              </w:rPr>
              <w:t>，位于场地西北侧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continue"/>
            <w:noWrap w:val="0"/>
            <w:vAlign w:val="center"/>
          </w:tcPr>
          <w:p>
            <w:pPr>
              <w:jc w:val="center"/>
              <w:rPr>
                <w:rFonts w:hint="eastAsia"/>
              </w:rPr>
            </w:pPr>
          </w:p>
        </w:tc>
        <w:tc>
          <w:tcPr>
            <w:tcW w:w="1363" w:type="dxa"/>
            <w:noWrap w:val="0"/>
            <w:vAlign w:val="center"/>
          </w:tcPr>
          <w:p>
            <w:pPr>
              <w:jc w:val="center"/>
              <w:rPr>
                <w:rFonts w:hint="eastAsia"/>
              </w:rPr>
            </w:pPr>
            <w:r>
              <w:rPr>
                <w:rFonts w:hint="eastAsia"/>
              </w:rPr>
              <w:t>待拆解车辆存放区</w:t>
            </w:r>
          </w:p>
        </w:tc>
        <w:tc>
          <w:tcPr>
            <w:tcW w:w="5899" w:type="dxa"/>
            <w:noWrap w:val="0"/>
            <w:vAlign w:val="center"/>
          </w:tcPr>
          <w:p>
            <w:pPr>
              <w:jc w:val="center"/>
              <w:rPr>
                <w:rFonts w:hint="eastAsia"/>
              </w:rPr>
            </w:pPr>
            <w:r>
              <w:rPr>
                <w:rFonts w:hint="eastAsia"/>
              </w:rPr>
              <w:t>占地</w:t>
            </w:r>
            <w:r>
              <w:t>面积约为</w:t>
            </w:r>
            <w:r>
              <w:rPr>
                <w:rFonts w:hint="eastAsia"/>
              </w:rPr>
              <w:t>6787</w:t>
            </w:r>
            <w:r>
              <w:t>m</w:t>
            </w:r>
            <w:r>
              <w:rPr>
                <w:vertAlign w:val="superscript"/>
              </w:rPr>
              <w:t>2</w:t>
            </w:r>
            <w:r>
              <w:rPr>
                <w:rFonts w:hint="eastAsia"/>
              </w:rPr>
              <w:t>的</w:t>
            </w:r>
            <w:r>
              <w:t>硬底化场地</w:t>
            </w:r>
            <w:r>
              <w:rPr>
                <w:rFonts w:hint="eastAsia"/>
              </w:rPr>
              <w:t>，位于场地中部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1088" w:type="dxa"/>
            <w:vMerge w:val="continue"/>
            <w:noWrap w:val="0"/>
            <w:vAlign w:val="center"/>
          </w:tcPr>
          <w:p>
            <w:pPr>
              <w:jc w:val="center"/>
              <w:rPr>
                <w:rFonts w:hint="eastAsia"/>
              </w:rPr>
            </w:pPr>
          </w:p>
        </w:tc>
        <w:tc>
          <w:tcPr>
            <w:tcW w:w="1363" w:type="dxa"/>
            <w:noWrap w:val="0"/>
            <w:vAlign w:val="center"/>
          </w:tcPr>
          <w:p>
            <w:pPr>
              <w:jc w:val="center"/>
              <w:rPr>
                <w:rFonts w:hint="eastAsia"/>
              </w:rPr>
            </w:pPr>
            <w:r>
              <w:rPr>
                <w:rFonts w:hint="eastAsia"/>
              </w:rPr>
              <w:t>办公楼</w:t>
            </w:r>
          </w:p>
        </w:tc>
        <w:tc>
          <w:tcPr>
            <w:tcW w:w="5899" w:type="dxa"/>
            <w:noWrap w:val="0"/>
            <w:vAlign w:val="center"/>
          </w:tcPr>
          <w:p>
            <w:pPr>
              <w:jc w:val="center"/>
              <w:rPr>
                <w:rFonts w:hint="eastAsia"/>
              </w:rPr>
            </w:pPr>
            <w:r>
              <w:rPr>
                <w:rFonts w:hint="eastAsia"/>
              </w:rPr>
              <w:t>占地面积225m</w:t>
            </w:r>
            <w:r>
              <w:rPr>
                <w:rFonts w:hint="eastAsia"/>
                <w:vertAlign w:val="superscript"/>
              </w:rPr>
              <w:t>2</w:t>
            </w:r>
            <w:r>
              <w:rPr>
                <w:rFonts w:hint="eastAsia"/>
              </w:rPr>
              <w:t>，建筑面积473</w:t>
            </w:r>
            <w:r>
              <w:t>m</w:t>
            </w:r>
            <w:r>
              <w:rPr>
                <w:vertAlign w:val="superscript"/>
              </w:rPr>
              <w:t>2</w:t>
            </w:r>
            <w:r>
              <w:rPr>
                <w:rFonts w:hint="eastAsia"/>
              </w:rPr>
              <w:t>的3层</w:t>
            </w:r>
            <w:r>
              <w:t>厂房</w:t>
            </w:r>
            <w:r>
              <w:rPr>
                <w:rFonts w:hint="eastAsia"/>
              </w:rPr>
              <w:t>，层高3.6m，总计11.7m高，位于场地西南侧，食堂位于一层。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restart"/>
            <w:noWrap w:val="0"/>
            <w:vAlign w:val="center"/>
          </w:tcPr>
          <w:p>
            <w:pPr>
              <w:jc w:val="center"/>
            </w:pPr>
            <w:r>
              <w:rPr>
                <w:rFonts w:hint="eastAsia"/>
              </w:rPr>
              <w:t>公用辅助工程</w:t>
            </w:r>
          </w:p>
        </w:tc>
        <w:tc>
          <w:tcPr>
            <w:tcW w:w="1363" w:type="dxa"/>
            <w:noWrap w:val="0"/>
            <w:vAlign w:val="center"/>
          </w:tcPr>
          <w:p>
            <w:pPr>
              <w:jc w:val="center"/>
            </w:pPr>
            <w:r>
              <w:rPr>
                <w:rFonts w:hint="eastAsia"/>
              </w:rPr>
              <w:t>给排水系统</w:t>
            </w:r>
          </w:p>
        </w:tc>
        <w:tc>
          <w:tcPr>
            <w:tcW w:w="5899" w:type="dxa"/>
            <w:noWrap w:val="0"/>
            <w:vAlign w:val="center"/>
          </w:tcPr>
          <w:p>
            <w:pPr>
              <w:jc w:val="center"/>
            </w:pPr>
            <w:r>
              <w:rPr>
                <w:rFonts w:hint="eastAsia"/>
              </w:rPr>
              <w:t>给水</w:t>
            </w:r>
            <w:r>
              <w:t>：市政管网供水；</w:t>
            </w:r>
          </w:p>
          <w:p>
            <w:pPr>
              <w:jc w:val="center"/>
            </w:pPr>
            <w:r>
              <w:t>排水：</w:t>
            </w:r>
            <w:r>
              <w:rPr>
                <w:rFonts w:hint="eastAsia"/>
              </w:rPr>
              <w:t>生活污水</w:t>
            </w:r>
            <w:r>
              <w:t>经化粪池预处理，食堂含油污水经隔油隔渣池预处理，</w:t>
            </w:r>
            <w:r>
              <w:rPr>
                <w:rFonts w:hint="eastAsia"/>
              </w:rPr>
              <w:t>与</w:t>
            </w:r>
            <w:r>
              <w:t>初期雨水、地面</w:t>
            </w:r>
            <w:r>
              <w:rPr>
                <w:rFonts w:hint="eastAsia"/>
              </w:rPr>
              <w:t>冲洗</w:t>
            </w:r>
            <w:r>
              <w:t>废水</w:t>
            </w:r>
            <w:r>
              <w:rPr>
                <w:rFonts w:hint="eastAsia"/>
              </w:rPr>
              <w:t>经油水分离器预处理后混合进入自建污水处理设施达到</w:t>
            </w:r>
            <w:r>
              <w:t>《水污染物排放限值》（DB44/26-2001）第二时段三级标准及</w:t>
            </w:r>
            <w:r>
              <w:rPr>
                <w:rFonts w:hint="eastAsia"/>
                <w:lang w:val="en-US" w:eastAsia="zh-CN"/>
              </w:rPr>
              <w:t>《污水排入城镇下水道水质标准》（GB/T31962-2015）表1中A级</w:t>
            </w:r>
            <w:r>
              <w:rPr>
                <w:rFonts w:hint="default"/>
                <w:lang w:val="en-US" w:eastAsia="zh-CN"/>
              </w:rPr>
              <w:t>标准</w:t>
            </w:r>
            <w:r>
              <w:t>较严值</w:t>
            </w:r>
            <w:r>
              <w:rPr>
                <w:szCs w:val="21"/>
              </w:rPr>
              <w:t>后</w:t>
            </w:r>
            <w:r>
              <w:rPr>
                <w:rFonts w:hint="eastAsia"/>
                <w:szCs w:val="21"/>
              </w:rPr>
              <w:t>通过市政管道排入霞山水质净化厂处理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continue"/>
            <w:noWrap w:val="0"/>
            <w:vAlign w:val="center"/>
          </w:tcPr>
          <w:p>
            <w:pPr>
              <w:jc w:val="center"/>
            </w:pPr>
          </w:p>
        </w:tc>
        <w:tc>
          <w:tcPr>
            <w:tcW w:w="1363" w:type="dxa"/>
            <w:noWrap w:val="0"/>
            <w:vAlign w:val="center"/>
          </w:tcPr>
          <w:p>
            <w:pPr>
              <w:jc w:val="center"/>
            </w:pPr>
            <w:r>
              <w:rPr>
                <w:rFonts w:hint="eastAsia"/>
              </w:rPr>
              <w:t>供电</w:t>
            </w:r>
          </w:p>
        </w:tc>
        <w:tc>
          <w:tcPr>
            <w:tcW w:w="5899" w:type="dxa"/>
            <w:noWrap w:val="0"/>
            <w:vAlign w:val="center"/>
          </w:tcPr>
          <w:p>
            <w:pPr>
              <w:jc w:val="center"/>
            </w:pPr>
            <w:r>
              <w:rPr>
                <w:rFonts w:hint="eastAsia"/>
              </w:rPr>
              <w:t>市政</w:t>
            </w:r>
            <w:r>
              <w:t>管网供电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continue"/>
            <w:noWrap w:val="0"/>
            <w:vAlign w:val="center"/>
          </w:tcPr>
          <w:p>
            <w:pPr>
              <w:jc w:val="center"/>
            </w:pPr>
          </w:p>
        </w:tc>
        <w:tc>
          <w:tcPr>
            <w:tcW w:w="1363" w:type="dxa"/>
            <w:noWrap w:val="0"/>
            <w:vAlign w:val="center"/>
          </w:tcPr>
          <w:p>
            <w:pPr>
              <w:jc w:val="center"/>
            </w:pPr>
            <w:r>
              <w:rPr>
                <w:rFonts w:hint="eastAsia"/>
              </w:rPr>
              <w:t>供热供冷</w:t>
            </w:r>
          </w:p>
        </w:tc>
        <w:tc>
          <w:tcPr>
            <w:tcW w:w="5899" w:type="dxa"/>
            <w:noWrap w:val="0"/>
            <w:vAlign w:val="center"/>
          </w:tcPr>
          <w:p>
            <w:pPr>
              <w:jc w:val="center"/>
            </w:pPr>
            <w:r>
              <w:rPr>
                <w:rFonts w:hint="eastAsia"/>
              </w:rPr>
              <w:t>不设</w:t>
            </w:r>
            <w:r>
              <w:t>锅炉</w:t>
            </w:r>
            <w:r>
              <w:rPr>
                <w:rFonts w:hint="eastAsia"/>
              </w:rPr>
              <w:t>，</w:t>
            </w:r>
            <w:r>
              <w:t>空调</w:t>
            </w:r>
            <w:r>
              <w:rPr>
                <w:rFonts w:hint="eastAsia"/>
              </w:rPr>
              <w:t>供冷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restart"/>
            <w:noWrap w:val="0"/>
            <w:vAlign w:val="center"/>
          </w:tcPr>
          <w:p>
            <w:pPr>
              <w:jc w:val="center"/>
            </w:pPr>
            <w:r>
              <w:rPr>
                <w:rFonts w:hint="eastAsia"/>
              </w:rPr>
              <w:t>环保工程</w:t>
            </w:r>
          </w:p>
        </w:tc>
        <w:tc>
          <w:tcPr>
            <w:tcW w:w="1363" w:type="dxa"/>
            <w:noWrap w:val="0"/>
            <w:vAlign w:val="center"/>
          </w:tcPr>
          <w:p>
            <w:pPr>
              <w:jc w:val="center"/>
            </w:pPr>
            <w:r>
              <w:rPr>
                <w:rFonts w:hint="eastAsia"/>
              </w:rPr>
              <w:t>废水</w:t>
            </w:r>
          </w:p>
        </w:tc>
        <w:tc>
          <w:tcPr>
            <w:tcW w:w="5899" w:type="dxa"/>
            <w:noWrap w:val="0"/>
            <w:vAlign w:val="center"/>
          </w:tcPr>
          <w:p>
            <w:pPr>
              <w:jc w:val="center"/>
              <w:rPr>
                <w:rFonts w:hint="eastAsia"/>
              </w:rPr>
            </w:pPr>
            <w:r>
              <w:rPr>
                <w:rFonts w:hint="eastAsia"/>
              </w:rPr>
              <w:t>生活污水</w:t>
            </w:r>
            <w:r>
              <w:t>经化粪池预处理，食堂含油污水经隔油隔渣池预处理，</w:t>
            </w:r>
            <w:r>
              <w:rPr>
                <w:rFonts w:hint="eastAsia"/>
              </w:rPr>
              <w:t>与</w:t>
            </w:r>
            <w:r>
              <w:t>初期雨水、地面</w:t>
            </w:r>
            <w:r>
              <w:rPr>
                <w:rFonts w:hint="eastAsia"/>
              </w:rPr>
              <w:t>冲洗</w:t>
            </w:r>
            <w:r>
              <w:t>废水</w:t>
            </w:r>
            <w:r>
              <w:rPr>
                <w:rFonts w:hint="eastAsia"/>
              </w:rPr>
              <w:t>经油水分离器预处理后混合进入自建污水处理设施达到</w:t>
            </w:r>
            <w:r>
              <w:rPr>
                <w:szCs w:val="21"/>
              </w:rPr>
              <w:t>《水污染物排放限值》（DB44/26-2001）第二时段三级标准及</w:t>
            </w:r>
            <w:r>
              <w:rPr>
                <w:rFonts w:hint="eastAsia"/>
                <w:lang w:val="en-US" w:eastAsia="zh-CN"/>
              </w:rPr>
              <w:t>《污水排入城镇下水道水质标准》（GB/T31962-2015）表1中A级</w:t>
            </w:r>
            <w:r>
              <w:rPr>
                <w:rFonts w:hint="default"/>
                <w:lang w:val="en-US" w:eastAsia="zh-CN"/>
              </w:rPr>
              <w:t>标准</w:t>
            </w:r>
            <w:r>
              <w:rPr>
                <w:szCs w:val="21"/>
              </w:rPr>
              <w:t>较严值后</w:t>
            </w:r>
            <w:r>
              <w:rPr>
                <w:rFonts w:hint="eastAsia"/>
                <w:szCs w:val="21"/>
              </w:rPr>
              <w:t>通过市政管道排入霞山水质净化厂处理</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continue"/>
            <w:noWrap w:val="0"/>
            <w:vAlign w:val="center"/>
          </w:tcPr>
          <w:p>
            <w:pPr>
              <w:jc w:val="center"/>
            </w:pPr>
          </w:p>
        </w:tc>
        <w:tc>
          <w:tcPr>
            <w:tcW w:w="1363" w:type="dxa"/>
            <w:noWrap w:val="0"/>
            <w:vAlign w:val="center"/>
          </w:tcPr>
          <w:p>
            <w:pPr>
              <w:jc w:val="center"/>
            </w:pPr>
            <w:r>
              <w:rPr>
                <w:rFonts w:hint="eastAsia"/>
              </w:rPr>
              <w:t>废气</w:t>
            </w:r>
          </w:p>
        </w:tc>
        <w:tc>
          <w:tcPr>
            <w:tcW w:w="5899" w:type="dxa"/>
            <w:noWrap w:val="0"/>
            <w:vAlign w:val="center"/>
          </w:tcPr>
          <w:p>
            <w:pPr>
              <w:jc w:val="center"/>
              <w:rPr>
                <w:rFonts w:hint="eastAsia"/>
              </w:rPr>
            </w:pPr>
            <w:r>
              <w:rPr>
                <w:rFonts w:hint="eastAsia"/>
              </w:rPr>
              <w:t>加强通风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continue"/>
            <w:noWrap w:val="0"/>
            <w:vAlign w:val="center"/>
          </w:tcPr>
          <w:p>
            <w:pPr>
              <w:jc w:val="center"/>
            </w:pPr>
          </w:p>
        </w:tc>
        <w:tc>
          <w:tcPr>
            <w:tcW w:w="1363" w:type="dxa"/>
            <w:noWrap w:val="0"/>
            <w:vAlign w:val="center"/>
          </w:tcPr>
          <w:p>
            <w:pPr>
              <w:jc w:val="center"/>
            </w:pPr>
            <w:r>
              <w:rPr>
                <w:rFonts w:hint="eastAsia"/>
              </w:rPr>
              <w:t>噪声治理</w:t>
            </w:r>
          </w:p>
        </w:tc>
        <w:tc>
          <w:tcPr>
            <w:tcW w:w="5899" w:type="dxa"/>
            <w:noWrap w:val="0"/>
            <w:vAlign w:val="center"/>
          </w:tcPr>
          <w:p>
            <w:pPr>
              <w:jc w:val="center"/>
            </w:pPr>
            <w:r>
              <w:rPr>
                <w:rFonts w:hint="eastAsia"/>
              </w:rPr>
              <w:t>隔声措施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continue"/>
            <w:noWrap w:val="0"/>
            <w:vAlign w:val="center"/>
          </w:tcPr>
          <w:p>
            <w:pPr>
              <w:jc w:val="center"/>
            </w:pPr>
          </w:p>
        </w:tc>
        <w:tc>
          <w:tcPr>
            <w:tcW w:w="1363" w:type="dxa"/>
            <w:noWrap w:val="0"/>
            <w:vAlign w:val="center"/>
          </w:tcPr>
          <w:p>
            <w:pPr>
              <w:jc w:val="center"/>
              <w:rPr>
                <w:rFonts w:hint="eastAsia"/>
              </w:rPr>
            </w:pPr>
            <w:r>
              <w:rPr>
                <w:rFonts w:hint="eastAsia"/>
              </w:rPr>
              <w:t>事故应急池</w:t>
            </w:r>
          </w:p>
        </w:tc>
        <w:tc>
          <w:tcPr>
            <w:tcW w:w="5899" w:type="dxa"/>
            <w:noWrap w:val="0"/>
            <w:vAlign w:val="center"/>
          </w:tcPr>
          <w:p>
            <w:pPr>
              <w:jc w:val="center"/>
              <w:rPr>
                <w:rFonts w:hint="eastAsia"/>
              </w:rPr>
            </w:pPr>
            <w:r>
              <w:t>容积</w:t>
            </w:r>
            <w:r>
              <w:rPr>
                <w:rFonts w:hint="eastAsia"/>
              </w:rPr>
              <w:t>约为420</w:t>
            </w:r>
            <w:r>
              <w:t>m</w:t>
            </w:r>
            <w:r>
              <w:rPr>
                <w:vertAlign w:val="superscript"/>
              </w:rPr>
              <w:t>3</w:t>
            </w:r>
            <w:r>
              <w:rPr>
                <w:rFonts w:hint="eastAsia"/>
              </w:rPr>
              <w:t>的地下消防水池，位于场地北侧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88" w:type="dxa"/>
            <w:vMerge w:val="continue"/>
            <w:noWrap w:val="0"/>
            <w:vAlign w:val="center"/>
          </w:tcPr>
          <w:p>
            <w:pPr>
              <w:jc w:val="center"/>
            </w:pPr>
          </w:p>
        </w:tc>
        <w:tc>
          <w:tcPr>
            <w:tcW w:w="1363" w:type="dxa"/>
            <w:noWrap w:val="0"/>
            <w:vAlign w:val="center"/>
          </w:tcPr>
          <w:p>
            <w:pPr>
              <w:jc w:val="center"/>
              <w:rPr>
                <w:rFonts w:hint="eastAsia"/>
              </w:rPr>
            </w:pPr>
            <w:r>
              <w:rPr>
                <w:rFonts w:hint="eastAsia"/>
              </w:rPr>
              <w:t>雨水沉淀池</w:t>
            </w:r>
          </w:p>
        </w:tc>
        <w:tc>
          <w:tcPr>
            <w:tcW w:w="5899" w:type="dxa"/>
            <w:noWrap w:val="0"/>
            <w:vAlign w:val="center"/>
          </w:tcPr>
          <w:p>
            <w:pPr>
              <w:jc w:val="center"/>
            </w:pPr>
            <w:r>
              <w:t>容积</w:t>
            </w:r>
            <w:r>
              <w:rPr>
                <w:rFonts w:hint="eastAsia"/>
              </w:rPr>
              <w:t>约为500</w:t>
            </w:r>
            <w:r>
              <w:t>m</w:t>
            </w:r>
            <w:r>
              <w:rPr>
                <w:vertAlign w:val="superscript"/>
              </w:rPr>
              <w:t>3</w:t>
            </w:r>
            <w:r>
              <w:rPr>
                <w:rFonts w:hint="eastAsia"/>
              </w:rPr>
              <w:t>的雨水沉淀池，位于场地南侧</w:t>
            </w:r>
          </w:p>
        </w:tc>
      </w:tr>
    </w:tbl>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根据报告表的评价结论，在全面落实报告表中提出的各项污染防治和风险防范措施，并确保污染物排放稳定达标且符合总量要求的前提下，项目按照报告表中所列性质、规模、地点和拟采取的环境保护措施进行建设，从环境保护角度可行。我局原则通过对报告表的审查，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应按照报告表内容组织实施。</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该项目须严格执行“三同时”制度，并落实各项污染防治措施，污染防治设施要同时设计、同时施工、同时投入运行。项目竣工后，你公司须按规定的标准和程序，对配套建设的环境保护设施进行验收，验收合格后方可投入使用。</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）该项目须加强环保管理和“三废”防治设施维护，严格按照环评的要求做好各项污染防治措施，确保项目产生的废气、</w:t>
      </w:r>
      <w:r>
        <w:rPr>
          <w:rFonts w:hint="eastAsia" w:ascii="仿宋_GB2312" w:hAnsi="仿宋_GB2312" w:eastAsia="仿宋_GB2312" w:cs="仿宋_GB2312"/>
          <w:sz w:val="32"/>
          <w:szCs w:val="32"/>
          <w:lang w:val="en-US" w:eastAsia="zh-CN"/>
        </w:rPr>
        <w:t>废水、</w:t>
      </w:r>
      <w:r>
        <w:rPr>
          <w:rFonts w:hint="eastAsia" w:ascii="仿宋_GB2312" w:hAnsi="仿宋_GB2312" w:eastAsia="仿宋_GB2312" w:cs="仿宋_GB2312"/>
          <w:sz w:val="32"/>
          <w:szCs w:val="32"/>
        </w:rPr>
        <w:t>噪声得到有效治理和持续稳定达标排放。</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）该项目生产过程产生的固体废物须严格按照有关规范管理，做好储存场所的防渗防漏措施，不能随意堆放，如实记录产生固体废物的种类、数量、利用、贮存、处置、流向等信息，存档备查。</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）该项目须加强危险废物的管理。1.严格按照《危险废物贮存污染控制标准》（GB18597-2001及其2013年修改单）中的相关规定设计建设危险废物暂存间，</w:t>
      </w:r>
      <w:r>
        <w:rPr>
          <w:rFonts w:hint="eastAsia" w:ascii="仿宋_GB2312" w:hAnsi="仿宋_GB2312" w:eastAsia="仿宋_GB2312" w:cs="仿宋_GB2312"/>
          <w:sz w:val="32"/>
          <w:szCs w:val="32"/>
          <w:lang w:val="en-US" w:eastAsia="zh-CN"/>
        </w:rPr>
        <w:t>满足</w:t>
      </w:r>
      <w:r>
        <w:rPr>
          <w:rFonts w:hint="eastAsia" w:ascii="仿宋_GB2312" w:hAnsi="仿宋_GB2312" w:eastAsia="仿宋_GB2312" w:cs="仿宋_GB2312"/>
          <w:sz w:val="32"/>
          <w:szCs w:val="32"/>
        </w:rPr>
        <w:t>防雨、防渗、防风、防晒、防漏等要求，并设置截留沟；2.危险废物须交由有资质的单位进行安全处置；3.建立危险废物管理台账，存档备查。</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（五）该项目运营过程中产生的生产粉尘无组织排放，执行广东省地方排放标准《大气污染物排放限值》（DB44/27-2001）第二时段无组织排放</w:t>
      </w:r>
      <w:r>
        <w:rPr>
          <w:rFonts w:hint="default" w:ascii="仿宋_GB2312" w:hAnsi="仿宋_GB2312" w:eastAsia="仿宋_GB2312" w:cs="仿宋_GB2312"/>
          <w:sz w:val="32"/>
          <w:szCs w:val="32"/>
          <w:lang w:val="en-US" w:eastAsia="zh-CN"/>
        </w:rPr>
        <w:t>标准</w:t>
      </w:r>
      <w:r>
        <w:rPr>
          <w:rFonts w:hint="eastAsia" w:ascii="仿宋_GB2312" w:hAnsi="仿宋_GB2312" w:eastAsia="仿宋_GB2312" w:cs="仿宋_GB2312"/>
          <w:sz w:val="32"/>
          <w:szCs w:val="32"/>
          <w:lang w:val="en-US" w:eastAsia="zh-CN"/>
        </w:rPr>
        <w:t>；生产过程中挥发的有机废气（以非甲烷总烃计）无组织排放，厂界执行《大气污染物排放限值》（DB44/27-2001）第二时段无组织排放标准，厂区内VOCs 无组织排放监控点浓度执行《挥发性有机物无组织排放控制标准》（GB 37822-2019）表A.1 厂区内VOCs 无组织特别排放限值标准；食堂油烟废气经油烟净化器处理后高空排放，执行《饮食业油烟排放标准》（GB18483-2001）小型规模排放标准；厂界臭气浓度执行《恶臭污染物排放标准》（GB14554-93）新改扩建厂界二级标准；生活污水经化粪池预处理、食堂废水经隔油隔渣池预处理、地面清洗废水和初期雨水经油水分离器预处理后，</w:t>
      </w:r>
      <w:bookmarkStart w:id="0" w:name="_GoBack"/>
      <w:bookmarkEnd w:id="0"/>
      <w:r>
        <w:rPr>
          <w:rFonts w:hint="eastAsia" w:ascii="仿宋_GB2312" w:hAnsi="仿宋_GB2312" w:eastAsia="仿宋_GB2312" w:cs="仿宋_GB2312"/>
          <w:sz w:val="32"/>
          <w:szCs w:val="32"/>
          <w:lang w:val="en-US" w:eastAsia="zh-CN"/>
        </w:rPr>
        <w:t>经厂内自建污水处理设施处理达标后通过市政管道排入霞山水质净化厂处理，执行</w:t>
      </w:r>
      <w:r>
        <w:rPr>
          <w:rFonts w:hint="default" w:ascii="仿宋_GB2312" w:hAnsi="仿宋_GB2312" w:eastAsia="仿宋_GB2312" w:cs="仿宋_GB2312"/>
          <w:sz w:val="32"/>
          <w:szCs w:val="32"/>
          <w:lang w:val="en-US" w:eastAsia="zh-CN"/>
        </w:rPr>
        <w:t>《水污染物排放限值》（DB44/26-2001）第二时段三级标准及</w:t>
      </w:r>
      <w:r>
        <w:rPr>
          <w:rFonts w:hint="eastAsia" w:ascii="仿宋_GB2312" w:hAnsi="仿宋_GB2312" w:eastAsia="仿宋_GB2312" w:cs="仿宋_GB2312"/>
          <w:sz w:val="32"/>
          <w:szCs w:val="32"/>
          <w:lang w:val="en-US" w:eastAsia="zh-CN"/>
        </w:rPr>
        <w:t>《污水排入城镇下水道水质标准》（GB/T31962-2015）表1中A级</w:t>
      </w:r>
      <w:r>
        <w:rPr>
          <w:rFonts w:hint="default" w:ascii="仿宋_GB2312" w:hAnsi="仿宋_GB2312" w:eastAsia="仿宋_GB2312" w:cs="仿宋_GB2312"/>
          <w:sz w:val="32"/>
          <w:szCs w:val="32"/>
          <w:lang w:val="en-US" w:eastAsia="zh-CN"/>
        </w:rPr>
        <w:t>标准</w:t>
      </w:r>
      <w:r>
        <w:rPr>
          <w:rFonts w:hint="eastAsia" w:ascii="仿宋_GB2312" w:hAnsi="仿宋_GB2312" w:eastAsia="仿宋_GB2312" w:cs="仿宋_GB2312"/>
          <w:sz w:val="32"/>
          <w:szCs w:val="32"/>
          <w:lang w:val="en-US" w:eastAsia="zh-CN"/>
        </w:rPr>
        <w:t>的</w:t>
      </w:r>
      <w:r>
        <w:rPr>
          <w:rFonts w:hint="default" w:ascii="仿宋_GB2312" w:hAnsi="仿宋_GB2312" w:eastAsia="仿宋_GB2312" w:cs="仿宋_GB2312"/>
          <w:sz w:val="32"/>
          <w:szCs w:val="32"/>
          <w:lang w:val="en-US" w:eastAsia="zh-CN"/>
        </w:rPr>
        <w:t>较严值</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厂界噪声</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lang w:eastAsia="zh-CN"/>
        </w:rPr>
        <w:t>《工业企业厂界环境噪声排放标准》（GB12348-2008）中</w:t>
      </w:r>
      <w:r>
        <w:rPr>
          <w:rFonts w:hint="eastAsia" w:ascii="仿宋_GB2312" w:hAnsi="仿宋_GB2312" w:eastAsia="仿宋_GB2312" w:cs="仿宋_GB2312"/>
          <w:sz w:val="32"/>
          <w:szCs w:val="32"/>
          <w:lang w:val="en-US" w:eastAsia="zh-CN"/>
        </w:rPr>
        <w:t>4a</w:t>
      </w:r>
      <w:r>
        <w:rPr>
          <w:rFonts w:hint="eastAsia" w:ascii="仿宋_GB2312" w:hAnsi="仿宋_GB2312" w:eastAsia="仿宋_GB2312" w:cs="仿宋_GB2312"/>
          <w:sz w:val="32"/>
          <w:szCs w:val="32"/>
          <w:lang w:eastAsia="zh-CN"/>
        </w:rPr>
        <w:t>类标准要求</w:t>
      </w:r>
      <w:r>
        <w:rPr>
          <w:rFonts w:hint="default" w:ascii="仿宋_GB2312" w:hAnsi="仿宋_GB2312" w:eastAsia="仿宋_GB2312" w:cs="仿宋_GB2312"/>
          <w:sz w:val="32"/>
          <w:szCs w:val="32"/>
          <w:lang w:val="en-GB" w:eastAsia="zh-TW"/>
        </w:rPr>
        <w:t>。</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四、若项目的性质、规模、地点、生产工艺或者防治污染的措施发生重大变动，应重新报批项目的环境影响评价文件。</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bidi w:val="0"/>
        <w:snapToGrid/>
        <w:spacing w:line="560" w:lineRule="exact"/>
        <w:ind w:left="0" w:firstLine="5440" w:firstLineChars="17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napToGrid/>
        <w:spacing w:line="560" w:lineRule="exact"/>
        <w:ind w:left="0" w:firstLine="5440" w:firstLineChars="17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2022年12月6日</w:t>
      </w:r>
    </w:p>
    <w:p>
      <w:pPr>
        <w:keepNext w:val="0"/>
        <w:keepLines w:val="0"/>
        <w:pageBreakBefore w:val="0"/>
        <w:widowControl w:val="0"/>
        <w:kinsoku/>
        <w:wordWrap/>
        <w:overflowPunct/>
        <w:topLinePunct w:val="0"/>
        <w:bidi w:val="0"/>
        <w:snapToGrid/>
        <w:spacing w:line="560" w:lineRule="exact"/>
        <w:ind w:left="0" w:firstLine="640" w:firstLineChars="200"/>
        <w:jc w:val="both"/>
        <w:textAlignment w:val="auto"/>
        <w:rPr>
          <w:rFonts w:hint="default" w:ascii="仿宋_GB2312" w:hAnsi="仿宋_GB2312" w:eastAsia="仿宋_GB2312" w:cs="仿宋_GB2312"/>
          <w:sz w:val="32"/>
          <w:szCs w:val="32"/>
          <w:lang w:val="en-US" w:eastAsia="zh-CN"/>
        </w:rPr>
      </w:pPr>
    </w:p>
    <w:sectPr>
      <w:pgSz w:w="11906" w:h="16838"/>
      <w:pgMar w:top="1440" w:right="1757" w:bottom="1440" w:left="175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D1DF47"/>
    <w:multiLevelType w:val="singleLevel"/>
    <w:tmpl w:val="E4D1DF47"/>
    <w:lvl w:ilvl="0" w:tentative="0">
      <w:start w:val="1"/>
      <w:numFmt w:val="bullet"/>
      <w:pStyle w:val="9"/>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09505094"/>
    <w:rsid w:val="072945F7"/>
    <w:rsid w:val="09505094"/>
    <w:rsid w:val="0D7D0F79"/>
    <w:rsid w:val="0F2D54EB"/>
    <w:rsid w:val="4B054507"/>
    <w:rsid w:val="5B127989"/>
    <w:rsid w:val="664B1C51"/>
    <w:rsid w:val="670F2F26"/>
    <w:rsid w:val="7C460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ind w:firstLine="510"/>
      <w:jc w:val="center"/>
      <w:outlineLvl w:val="0"/>
    </w:pPr>
    <w:rPr>
      <w:sz w:val="28"/>
      <w:szCs w:val="20"/>
    </w:rPr>
  </w:style>
  <w:style w:type="character" w:default="1" w:styleId="17">
    <w:name w:val="Default Paragraph Font"/>
    <w:semiHidden/>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after="160" w:line="259" w:lineRule="auto"/>
      <w:jc w:val="left"/>
    </w:pPr>
    <w:rPr>
      <w:rFonts w:ascii="宋体" w:hAnsi="Courier New"/>
      <w:sz w:val="20"/>
      <w:szCs w:val="20"/>
    </w:rPr>
  </w:style>
  <w:style w:type="paragraph" w:styleId="4">
    <w:name w:val="E-mail Signature"/>
    <w:basedOn w:val="1"/>
    <w:next w:val="5"/>
    <w:qFormat/>
    <w:uiPriority w:val="0"/>
    <w:pPr>
      <w:spacing w:line="460" w:lineRule="exact"/>
      <w:ind w:firstLine="200"/>
    </w:pPr>
    <w:rPr>
      <w:rFonts w:ascii="Times New Roman" w:hAnsi="Times New Roman" w:eastAsia="宋体" w:cs="Times New Roman"/>
    </w:rPr>
  </w:style>
  <w:style w:type="paragraph" w:customStyle="1" w:styleId="5">
    <w:name w:val="文章"/>
    <w:basedOn w:val="6"/>
    <w:next w:val="8"/>
    <w:qFormat/>
    <w:uiPriority w:val="0"/>
    <w:pPr>
      <w:widowControl/>
      <w:spacing w:line="240" w:lineRule="auto"/>
      <w:ind w:firstLine="480"/>
      <w:jc w:val="center"/>
    </w:pPr>
    <w:rPr>
      <w:rFonts w:ascii="Times New Roman" w:hAnsi="Times New Roman" w:eastAsia="宋体" w:cs="Times New Roman"/>
      <w:sz w:val="26"/>
    </w:rPr>
  </w:style>
  <w:style w:type="paragraph" w:styleId="6">
    <w:name w:val="Body Text Indent"/>
    <w:basedOn w:val="1"/>
    <w:next w:val="7"/>
    <w:qFormat/>
    <w:uiPriority w:val="0"/>
    <w:pPr>
      <w:ind w:left="720"/>
    </w:pPr>
    <w:rPr>
      <w:sz w:val="28"/>
    </w:rPr>
  </w:style>
  <w:style w:type="paragraph" w:customStyle="1" w:styleId="7">
    <w:name w:val="样式 标题 1一级标题 + 段前: 0.5 行 段后: 0.5 行"/>
    <w:basedOn w:val="3"/>
    <w:qFormat/>
    <w:uiPriority w:val="99"/>
    <w:pPr>
      <w:spacing w:line="320" w:lineRule="exact"/>
      <w:outlineLvl w:val="9"/>
    </w:pPr>
    <w:rPr>
      <w:spacing w:val="-6"/>
      <w:sz w:val="21"/>
      <w:szCs w:val="21"/>
    </w:rPr>
  </w:style>
  <w:style w:type="paragraph" w:styleId="8">
    <w:name w:val="List"/>
    <w:basedOn w:val="1"/>
    <w:next w:val="9"/>
    <w:qFormat/>
    <w:uiPriority w:val="0"/>
    <w:pPr>
      <w:adjustRightInd w:val="0"/>
      <w:spacing w:line="288" w:lineRule="auto"/>
      <w:ind w:left="200" w:hanging="200" w:hangingChars="200"/>
      <w:textAlignment w:val="baseline"/>
    </w:pPr>
    <w:rPr>
      <w:rFonts w:ascii="Calibri" w:hAnsi="Calibri"/>
      <w:kern w:val="0"/>
      <w:sz w:val="24"/>
    </w:rPr>
  </w:style>
  <w:style w:type="paragraph" w:styleId="9">
    <w:name w:val="List Bullet 2"/>
    <w:basedOn w:val="1"/>
    <w:next w:val="10"/>
    <w:qFormat/>
    <w:uiPriority w:val="0"/>
    <w:pPr>
      <w:numPr>
        <w:ilvl w:val="0"/>
        <w:numId w:val="1"/>
      </w:numPr>
    </w:pPr>
  </w:style>
  <w:style w:type="paragraph" w:customStyle="1" w:styleId="10">
    <w:name w:val="xl70"/>
    <w:basedOn w:val="1"/>
    <w:next w:val="11"/>
    <w:qFormat/>
    <w:uiPriority w:val="0"/>
    <w:pPr>
      <w:widowControl/>
      <w:spacing w:before="280" w:after="280" w:line="240" w:lineRule="auto"/>
      <w:ind w:firstLine="0"/>
    </w:pPr>
    <w:rPr>
      <w:rFonts w:ascii="宋体" w:hAnsi="Times New Roman" w:eastAsia="宋体" w:cs="Times New Roman"/>
    </w:rPr>
  </w:style>
  <w:style w:type="paragraph" w:customStyle="1" w:styleId="11">
    <w:name w:val="正文缩进1"/>
    <w:basedOn w:val="1"/>
    <w:next w:val="12"/>
    <w:qFormat/>
    <w:uiPriority w:val="0"/>
    <w:pPr>
      <w:ind w:firstLine="420" w:firstLineChars="200"/>
    </w:pPr>
    <w:rPr>
      <w:rFonts w:ascii="Times New Roman" w:hAnsi="Times New Roman" w:eastAsia="宋体" w:cs="Times New Roman"/>
      <w:sz w:val="24"/>
      <w:szCs w:val="24"/>
    </w:rPr>
  </w:style>
  <w:style w:type="paragraph" w:customStyle="1" w:styleId="12">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3">
    <w:name w:val="caption"/>
    <w:basedOn w:val="1"/>
    <w:next w:val="1"/>
    <w:qFormat/>
    <w:uiPriority w:val="0"/>
    <w:rPr>
      <w:rFonts w:ascii="Calibri Light" w:hAnsi="Calibri Light" w:eastAsia="黑体" w:cs="Times New Roman"/>
      <w:sz w:val="20"/>
    </w:rPr>
  </w:style>
  <w:style w:type="paragraph" w:styleId="14">
    <w:name w:val="Body Text"/>
    <w:basedOn w:val="1"/>
    <w:qFormat/>
    <w:uiPriority w:val="0"/>
    <w:pPr>
      <w:spacing w:line="0" w:lineRule="atLeast"/>
    </w:pPr>
    <w:rPr>
      <w:rFonts w:eastAsia="小标宋"/>
      <w:sz w:val="44"/>
    </w:rPr>
  </w:style>
  <w:style w:type="paragraph" w:styleId="15">
    <w:name w:val="toc 2"/>
    <w:basedOn w:val="1"/>
    <w:next w:val="4"/>
    <w:qFormat/>
    <w:uiPriority w:val="0"/>
    <w:pPr>
      <w:ind w:left="210"/>
      <w:jc w:val="left"/>
    </w:pPr>
    <w:rPr>
      <w:rFonts w:ascii="Calibri" w:hAnsi="Calibri" w:eastAsia="宋体" w:cs="Calibri"/>
      <w:smallCaps/>
      <w:sz w:val="20"/>
    </w:rPr>
  </w:style>
  <w:style w:type="character" w:styleId="18">
    <w:name w:val="annotation reference"/>
    <w:semiHidden/>
    <w:qFormat/>
    <w:uiPriority w:val="0"/>
    <w:rPr>
      <w:sz w:val="21"/>
    </w:rPr>
  </w:style>
  <w:style w:type="paragraph" w:customStyle="1" w:styleId="19">
    <w:name w:val="Default"/>
    <w:basedOn w:val="20"/>
    <w:next w:val="1"/>
    <w:qFormat/>
    <w:uiPriority w:val="0"/>
    <w:pPr>
      <w:autoSpaceDE w:val="0"/>
      <w:autoSpaceDN w:val="0"/>
    </w:pPr>
    <w:rPr>
      <w:rFonts w:hAnsi="Times New Roman" w:eastAsia="宋体" w:cs="宋体"/>
      <w:color w:val="000000"/>
      <w:sz w:val="24"/>
      <w:szCs w:val="24"/>
    </w:rPr>
  </w:style>
  <w:style w:type="paragraph" w:customStyle="1" w:styleId="20">
    <w:name w:val="纯文本1"/>
    <w:basedOn w:val="1"/>
    <w:next w:val="2"/>
    <w:qFormat/>
    <w:uiPriority w:val="0"/>
    <w:pPr>
      <w:adjustRightInd w:val="0"/>
    </w:pPr>
    <w:rPr>
      <w:rFonts w:ascii="宋体" w:hAnsi="Courier New"/>
      <w:szCs w:val="20"/>
    </w:rPr>
  </w:style>
  <w:style w:type="paragraph" w:customStyle="1" w:styleId="21">
    <w:name w:val="文本"/>
    <w:basedOn w:val="1"/>
    <w:next w:val="1"/>
    <w:qFormat/>
    <w:uiPriority w:val="0"/>
    <w:pPr>
      <w:autoSpaceDE w:val="0"/>
      <w:autoSpaceDN w:val="0"/>
      <w:ind w:firstLine="480"/>
    </w:pPr>
    <w:rPr>
      <w:lang w:val="zh-CN"/>
    </w:rPr>
  </w:style>
  <w:style w:type="paragraph" w:customStyle="1" w:styleId="22">
    <w:name w:val="样式35"/>
    <w:basedOn w:val="23"/>
    <w:next w:val="24"/>
    <w:qFormat/>
    <w:uiPriority w:val="0"/>
    <w:pPr>
      <w:spacing w:line="312" w:lineRule="auto"/>
      <w:ind w:firstLine="567"/>
    </w:pPr>
    <w:rPr>
      <w:rFonts w:ascii="宋体" w:hAnsi="Times New Roman" w:eastAsia="宋体" w:cs="Times New Roman"/>
      <w:sz w:val="28"/>
    </w:rPr>
  </w:style>
  <w:style w:type="paragraph" w:customStyle="1" w:styleId="23">
    <w:name w:val="表 内容"/>
    <w:basedOn w:val="1"/>
    <w:qFormat/>
    <w:uiPriority w:val="0"/>
    <w:pPr>
      <w:adjustRightInd w:val="0"/>
      <w:snapToGrid w:val="0"/>
      <w:spacing w:beforeLines="15" w:afterLines="15"/>
      <w:jc w:val="center"/>
    </w:pPr>
    <w:rPr>
      <w:sz w:val="21"/>
      <w:szCs w:val="21"/>
    </w:rPr>
  </w:style>
  <w:style w:type="paragraph" w:customStyle="1" w:styleId="24">
    <w:name w:val="font6"/>
    <w:basedOn w:val="1"/>
    <w:next w:val="15"/>
    <w:qFormat/>
    <w:uiPriority w:val="0"/>
    <w:pPr>
      <w:widowControl/>
      <w:spacing w:before="280" w:after="280" w:line="240" w:lineRule="auto"/>
      <w:ind w:firstLine="0"/>
    </w:pPr>
    <w:rPr>
      <w:rFonts w:ascii="Times New Roman" w:hAnsi="Times New Roman" w:eastAsia="宋体" w:cs="Times New Roman"/>
      <w:sz w:val="21"/>
    </w:rPr>
  </w:style>
  <w:style w:type="paragraph" w:customStyle="1" w:styleId="25">
    <w:name w:val="表格内文字"/>
    <w:qFormat/>
    <w:uiPriority w:val="0"/>
    <w:pPr>
      <w:tabs>
        <w:tab w:val="left" w:pos="90"/>
      </w:tabs>
      <w:jc w:val="center"/>
    </w:pPr>
    <w:rPr>
      <w:rFonts w:ascii="Times New Roman" w:hAnsi="Times New Roman" w:eastAsia="宋体" w:cs="宋体"/>
      <w:sz w:val="21"/>
      <w:szCs w:val="24"/>
      <w:lang w:val="en-US" w:eastAsia="zh-CN" w:bidi="ar-SA"/>
    </w:rPr>
  </w:style>
  <w:style w:type="paragraph" w:customStyle="1" w:styleId="26">
    <w:name w:val="正文文字 6"/>
    <w:next w:val="1"/>
    <w:qFormat/>
    <w:uiPriority w:val="0"/>
    <w:pPr>
      <w:widowControl w:val="0"/>
      <w:ind w:left="240"/>
      <w:jc w:val="both"/>
    </w:pPr>
    <w:rPr>
      <w:rFonts w:ascii="宋体" w:hAnsi="Calibri" w:eastAsia="宋体" w:cs="Times New Roman"/>
      <w:b/>
      <w:bCs/>
      <w:kern w:val="2"/>
      <w:sz w:val="32"/>
      <w:szCs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2006</Words>
  <Characters>2252</Characters>
  <Lines>0</Lines>
  <Paragraphs>0</Paragraphs>
  <TotalTime>7</TotalTime>
  <ScaleCrop>false</ScaleCrop>
  <LinksUpToDate>false</LinksUpToDate>
  <CharactersWithSpaces>2258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2022-10-18T07:35:00Z</dcterms:created>
  <dc:creator>孙不鸦</dc:creator>
  <cp:lastModifiedBy>孙不鸦</cp:lastModifiedBy>
  <cp:lastPrinted>2022-12-05T09:25:37Z</cp:lastPrinted>
  <dcterms:modified xsi:type="dcterms:W3CDTF">2022-12-06T01:47:48Z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BB3408D250114C66822E8BEC96C76DF2</vt:lpwstr>
  </property>
</Properties>
</file>