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wordWrap w:val="0"/>
        <w:spacing w:line="580" w:lineRule="exact"/>
        <w:jc w:val="right"/>
        <w:rPr>
          <w:rFonts w:hint="eastAsia" w:ascii="仿宋_GB2312" w:hAnsi="仿宋_GB2312" w:eastAsia="仿宋_GB2312" w:cs="仿宋_GB2312"/>
          <w:sz w:val="32"/>
          <w:szCs w:val="32"/>
        </w:rPr>
      </w:pPr>
    </w:p>
    <w:p>
      <w:pPr>
        <w:pStyle w:val="2"/>
        <w:wordWrap/>
        <w:rPr>
          <w:rFonts w:hint="eastAsia" w:ascii="仿宋_GB2312" w:hAnsi="仿宋_GB2312" w:eastAsia="仿宋_GB2312" w:cs="仿宋_GB2312"/>
          <w:sz w:val="32"/>
          <w:szCs w:val="32"/>
        </w:rPr>
      </w:pPr>
    </w:p>
    <w:p>
      <w:pPr>
        <w:spacing w:line="480" w:lineRule="exact"/>
        <w:jc w:val="right"/>
        <w:rPr>
          <w:rFonts w:hint="eastAsia" w:ascii="仿宋_GB2312" w:eastAsia="仿宋_GB2312"/>
          <w:sz w:val="32"/>
        </w:rPr>
      </w:pPr>
      <w:r>
        <w:rPr>
          <w:rFonts w:hint="eastAsia" w:ascii="仿宋_GB2312" w:eastAsia="仿宋_GB2312"/>
          <w:sz w:val="32"/>
        </w:rPr>
        <w:t>湛环建霞〔20</w:t>
      </w:r>
      <w:r>
        <w:rPr>
          <w:rFonts w:hint="eastAsia" w:ascii="仿宋_GB2312" w:eastAsia="仿宋_GB2312"/>
          <w:sz w:val="32"/>
          <w:lang w:val="en-US" w:eastAsia="zh-CN"/>
        </w:rPr>
        <w:t>22</w:t>
      </w:r>
      <w:r>
        <w:rPr>
          <w:rFonts w:hint="eastAsia" w:ascii="仿宋_GB2312" w:eastAsia="仿宋_GB2312"/>
          <w:sz w:val="32"/>
        </w:rPr>
        <w:t>〕</w:t>
      </w:r>
      <w:r>
        <w:rPr>
          <w:rFonts w:hint="eastAsia" w:ascii="仿宋_GB2312" w:eastAsia="仿宋_GB2312"/>
          <w:sz w:val="32"/>
          <w:lang w:val="en-US" w:eastAsia="zh-CN"/>
        </w:rPr>
        <w:t>25</w:t>
      </w:r>
      <w:r>
        <w:rPr>
          <w:rFonts w:hint="eastAsia" w:ascii="仿宋_GB2312" w:eastAsia="仿宋_GB2312"/>
          <w:sz w:val="32"/>
        </w:rPr>
        <w:t>号</w:t>
      </w:r>
    </w:p>
    <w:p>
      <w:pPr>
        <w:spacing w:line="540" w:lineRule="exact"/>
        <w:rPr>
          <w:rFonts w:hint="eastAsia" w:ascii="仿宋_GB2312" w:eastAsia="仿宋_GB2312"/>
          <w:sz w:val="32"/>
          <w:szCs w:val="20"/>
        </w:rPr>
      </w:pPr>
    </w:p>
    <w:p>
      <w:pPr>
        <w:spacing w:line="520" w:lineRule="exact"/>
        <w:jc w:val="center"/>
        <w:rPr>
          <w:rFonts w:hint="eastAsia" w:ascii="方正小标宋简体" w:hAnsi="方正小标宋简体" w:eastAsia="方正小标宋简体" w:cs="方正小标宋简体"/>
          <w:w w:val="95"/>
          <w:sz w:val="44"/>
          <w:szCs w:val="44"/>
        </w:rPr>
      </w:pPr>
      <w:r>
        <w:rPr>
          <w:rFonts w:hint="eastAsia" w:ascii="方正小标宋简体" w:hAnsi="方正小标宋简体" w:eastAsia="方正小标宋简体" w:cs="方正小标宋简体"/>
          <w:w w:val="95"/>
          <w:sz w:val="44"/>
          <w:szCs w:val="44"/>
        </w:rPr>
        <w:t>关于</w:t>
      </w:r>
      <w:r>
        <w:rPr>
          <w:rFonts w:hint="eastAsia" w:ascii="Times New Roman" w:hAnsi="Times New Roman" w:eastAsia="小标宋" w:cs="Times New Roman"/>
          <w:color w:val="auto"/>
          <w:sz w:val="44"/>
          <w:szCs w:val="44"/>
          <w:lang w:eastAsia="zh-CN"/>
        </w:rPr>
        <w:t>废旧电池回收储存建设项目</w:t>
      </w:r>
      <w:r>
        <w:rPr>
          <w:rFonts w:hint="eastAsia" w:ascii="方正小标宋简体" w:hAnsi="方正小标宋简体" w:eastAsia="方正小标宋简体" w:cs="方正小标宋简体"/>
          <w:w w:val="95"/>
          <w:sz w:val="44"/>
          <w:szCs w:val="44"/>
        </w:rPr>
        <w:t>环境影响</w:t>
      </w:r>
    </w:p>
    <w:p>
      <w:pPr>
        <w:spacing w:line="520" w:lineRule="exact"/>
        <w:jc w:val="center"/>
        <w:rPr>
          <w:rFonts w:hint="eastAsia" w:ascii="方正小标宋简体" w:hAnsi="方正小标宋简体" w:eastAsia="方正小标宋简体" w:cs="方正小标宋简体"/>
          <w:w w:val="95"/>
          <w:sz w:val="44"/>
          <w:szCs w:val="44"/>
        </w:rPr>
      </w:pPr>
      <w:r>
        <w:rPr>
          <w:rFonts w:hint="eastAsia" w:ascii="方正小标宋简体" w:hAnsi="方正小标宋简体" w:eastAsia="方正小标宋简体" w:cs="方正小标宋简体"/>
          <w:w w:val="95"/>
          <w:sz w:val="44"/>
          <w:szCs w:val="44"/>
        </w:rPr>
        <w:t>报告表的批复</w:t>
      </w:r>
    </w:p>
    <w:p>
      <w:pPr>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湛江市</w:t>
      </w:r>
      <w:r>
        <w:rPr>
          <w:rFonts w:hint="eastAsia" w:ascii="仿宋_GB2312" w:hAnsi="仿宋_GB2312" w:eastAsia="仿宋_GB2312" w:cs="仿宋_GB2312"/>
          <w:sz w:val="32"/>
          <w:szCs w:val="32"/>
          <w:lang w:val="en-US" w:eastAsia="zh-CN"/>
        </w:rPr>
        <w:t>鸿达石化有限公司</w:t>
      </w:r>
      <w:r>
        <w:rPr>
          <w:rFonts w:hint="eastAsia" w:ascii="仿宋_GB2312" w:hAnsi="仿宋_GB2312" w:eastAsia="仿宋_GB2312" w:cs="仿宋_GB2312"/>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你单位报批</w:t>
      </w:r>
      <w:r>
        <w:rPr>
          <w:rFonts w:hint="eastAsia" w:ascii="仿宋_GB2312" w:hAnsi="仿宋_GB2312" w:eastAsia="仿宋_GB2312" w:cs="仿宋_GB2312"/>
          <w:sz w:val="32"/>
          <w:szCs w:val="32"/>
          <w:lang w:val="en-US" w:eastAsia="zh-CN"/>
        </w:rPr>
        <w:t>的《废旧电池回收储存建设项目</w:t>
      </w:r>
      <w:r>
        <w:rPr>
          <w:rFonts w:hint="default" w:ascii="仿宋_GB2312" w:hAnsi="仿宋_GB2312" w:eastAsia="仿宋_GB2312" w:cs="仿宋_GB2312"/>
          <w:sz w:val="32"/>
          <w:szCs w:val="32"/>
          <w:lang w:val="en-US" w:eastAsia="zh-CN"/>
        </w:rPr>
        <w:t>环境影响报告表</w:t>
      </w:r>
      <w:r>
        <w:rPr>
          <w:rFonts w:hint="eastAsia" w:ascii="仿宋_GB2312" w:hAnsi="仿宋_GB2312" w:eastAsia="仿宋_GB2312" w:cs="仿宋_GB2312"/>
          <w:sz w:val="32"/>
          <w:szCs w:val="32"/>
          <w:lang w:val="en-US" w:eastAsia="zh-CN"/>
        </w:rPr>
        <w:t>》（以</w:t>
      </w:r>
      <w:r>
        <w:rPr>
          <w:rFonts w:hint="eastAsia" w:ascii="仿宋_GB2312" w:hAnsi="仿宋_GB2312" w:eastAsia="仿宋_GB2312" w:cs="仿宋_GB2312"/>
          <w:sz w:val="32"/>
          <w:szCs w:val="32"/>
          <w:lang w:eastAsia="zh-CN"/>
        </w:rPr>
        <w:t>下简称“报告表”）等材料收悉。经研究，批复如下：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w:t>
      </w:r>
      <w:r>
        <w:rPr>
          <w:rFonts w:hint="default" w:ascii="仿宋_GB2312" w:hAnsi="仿宋_GB2312" w:eastAsia="仿宋_GB2312" w:cs="仿宋_GB2312"/>
          <w:sz w:val="32"/>
          <w:szCs w:val="32"/>
          <w:lang w:eastAsia="zh-CN"/>
        </w:rPr>
        <w:t>湛江市鸿达石化有限公司拟在</w:t>
      </w:r>
      <w:r>
        <w:rPr>
          <w:rFonts w:hint="eastAsia" w:ascii="仿宋_GB2312" w:hAnsi="仿宋_GB2312" w:eastAsia="仿宋_GB2312" w:cs="仿宋_GB2312"/>
          <w:sz w:val="32"/>
          <w:szCs w:val="32"/>
          <w:lang w:eastAsia="zh-CN"/>
        </w:rPr>
        <w:t>现有</w:t>
      </w:r>
      <w:r>
        <w:rPr>
          <w:rFonts w:hint="default" w:ascii="仿宋_GB2312" w:hAnsi="仿宋_GB2312" w:eastAsia="仿宋_GB2312" w:cs="仿宋_GB2312"/>
          <w:sz w:val="32"/>
          <w:szCs w:val="32"/>
          <w:lang w:eastAsia="zh-CN"/>
        </w:rPr>
        <w:t>项目区内空地建设“废旧电池回收储存建设项目（以下简称</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扩建项目</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）”，扩建项目占地面积为750</w:t>
      </w:r>
      <w:r>
        <w:rPr>
          <w:color w:val="auto"/>
          <w:sz w:val="32"/>
          <w:szCs w:val="32"/>
          <w:lang w:val="zh-CN"/>
        </w:rPr>
        <w:t>m</w:t>
      </w:r>
      <w:r>
        <w:rPr>
          <w:color w:val="auto"/>
          <w:sz w:val="32"/>
          <w:szCs w:val="32"/>
          <w:vertAlign w:val="superscript"/>
          <w:lang w:val="zh-CN"/>
        </w:rPr>
        <w:t>2</w:t>
      </w:r>
      <w:r>
        <w:rPr>
          <w:rFonts w:hint="default" w:ascii="仿宋_GB2312" w:hAnsi="仿宋_GB2312" w:eastAsia="仿宋_GB2312" w:cs="仿宋_GB2312"/>
          <w:sz w:val="32"/>
          <w:szCs w:val="32"/>
          <w:lang w:eastAsia="zh-CN"/>
        </w:rPr>
        <w:t>，建筑面积750</w:t>
      </w:r>
      <w:r>
        <w:rPr>
          <w:color w:val="auto"/>
          <w:sz w:val="32"/>
          <w:szCs w:val="32"/>
          <w:lang w:val="zh-CN"/>
        </w:rPr>
        <w:t>m</w:t>
      </w:r>
      <w:r>
        <w:rPr>
          <w:color w:val="auto"/>
          <w:sz w:val="32"/>
          <w:szCs w:val="32"/>
          <w:vertAlign w:val="superscript"/>
          <w:lang w:val="zh-CN"/>
        </w:rPr>
        <w:t>2</w:t>
      </w:r>
      <w:r>
        <w:rPr>
          <w:rFonts w:hint="default" w:ascii="仿宋_GB2312" w:hAnsi="仿宋_GB2312" w:eastAsia="仿宋_GB2312" w:cs="仿宋_GB2312"/>
          <w:sz w:val="32"/>
          <w:szCs w:val="32"/>
          <w:lang w:eastAsia="zh-CN"/>
        </w:rPr>
        <w:t>，主要建设内容为1栋仓库，内部区域共划分为完整废</w:t>
      </w:r>
      <w:r>
        <w:rPr>
          <w:rFonts w:hint="eastAsia" w:ascii="仿宋_GB2312" w:hAnsi="仿宋_GB2312" w:eastAsia="仿宋_GB2312" w:cs="仿宋_GB2312"/>
          <w:sz w:val="32"/>
          <w:szCs w:val="32"/>
          <w:lang w:eastAsia="zh-CN"/>
        </w:rPr>
        <w:t>铅酸蓄电池</w:t>
      </w:r>
      <w:r>
        <w:rPr>
          <w:rFonts w:hint="default" w:ascii="仿宋_GB2312" w:hAnsi="仿宋_GB2312" w:eastAsia="仿宋_GB2312" w:cs="仿宋_GB2312"/>
          <w:sz w:val="32"/>
          <w:szCs w:val="32"/>
          <w:lang w:eastAsia="zh-CN"/>
        </w:rPr>
        <w:t>存放区、破损废</w:t>
      </w:r>
      <w:r>
        <w:rPr>
          <w:rFonts w:hint="eastAsia" w:ascii="仿宋_GB2312" w:hAnsi="仿宋_GB2312" w:eastAsia="仿宋_GB2312" w:cs="仿宋_GB2312"/>
          <w:sz w:val="32"/>
          <w:szCs w:val="32"/>
          <w:lang w:eastAsia="zh-CN"/>
        </w:rPr>
        <w:t>铅酸蓄电池</w:t>
      </w:r>
      <w:r>
        <w:rPr>
          <w:rFonts w:hint="default" w:ascii="仿宋_GB2312" w:hAnsi="仿宋_GB2312" w:eastAsia="仿宋_GB2312" w:cs="仿宋_GB2312"/>
          <w:sz w:val="32"/>
          <w:szCs w:val="32"/>
          <w:lang w:eastAsia="zh-CN"/>
        </w:rPr>
        <w:t>区、通道及导流沟等，不改变</w:t>
      </w:r>
      <w:r>
        <w:rPr>
          <w:rFonts w:hint="eastAsia" w:ascii="仿宋_GB2312" w:hAnsi="仿宋_GB2312" w:eastAsia="仿宋_GB2312" w:cs="仿宋_GB2312"/>
          <w:sz w:val="32"/>
          <w:szCs w:val="32"/>
          <w:lang w:eastAsia="zh-CN"/>
        </w:rPr>
        <w:t>现有</w:t>
      </w:r>
      <w:r>
        <w:rPr>
          <w:rFonts w:hint="default" w:ascii="仿宋_GB2312" w:hAnsi="仿宋_GB2312" w:eastAsia="仿宋_GB2312" w:cs="仿宋_GB2312"/>
          <w:sz w:val="32"/>
          <w:szCs w:val="32"/>
          <w:lang w:eastAsia="zh-CN"/>
        </w:rPr>
        <w:t>项目建设内容，不新增用地。扩建项目评价范围为废</w:t>
      </w:r>
      <w:r>
        <w:rPr>
          <w:rFonts w:hint="eastAsia" w:ascii="仿宋_GB2312" w:hAnsi="仿宋_GB2312" w:eastAsia="仿宋_GB2312" w:cs="仿宋_GB2312"/>
          <w:sz w:val="32"/>
          <w:szCs w:val="32"/>
          <w:lang w:eastAsia="zh-CN"/>
        </w:rPr>
        <w:t>铅酸蓄电池</w:t>
      </w:r>
      <w:r>
        <w:rPr>
          <w:rFonts w:hint="default" w:ascii="仿宋_GB2312" w:hAnsi="仿宋_GB2312" w:eastAsia="仿宋_GB2312" w:cs="仿宋_GB2312"/>
          <w:sz w:val="32"/>
          <w:szCs w:val="32"/>
          <w:lang w:eastAsia="zh-CN"/>
        </w:rPr>
        <w:t>回收储存建设项目，主要为废</w:t>
      </w:r>
      <w:r>
        <w:rPr>
          <w:rFonts w:hint="eastAsia" w:ascii="仿宋_GB2312" w:hAnsi="仿宋_GB2312" w:eastAsia="仿宋_GB2312" w:cs="仿宋_GB2312"/>
          <w:sz w:val="32"/>
          <w:szCs w:val="32"/>
          <w:lang w:eastAsia="zh-CN"/>
        </w:rPr>
        <w:t>铅酸蓄电池</w:t>
      </w:r>
      <w:r>
        <w:rPr>
          <w:rFonts w:hint="default" w:ascii="仿宋_GB2312" w:hAnsi="仿宋_GB2312" w:eastAsia="仿宋_GB2312" w:cs="仿宋_GB2312"/>
          <w:sz w:val="32"/>
          <w:szCs w:val="32"/>
          <w:lang w:eastAsia="zh-CN"/>
        </w:rPr>
        <w:t>的收集、贮存，</w:t>
      </w:r>
      <w:r>
        <w:rPr>
          <w:rFonts w:hint="eastAsia" w:ascii="仿宋_GB2312" w:hAnsi="仿宋_GB2312" w:eastAsia="仿宋_GB2312" w:cs="仿宋_GB2312"/>
          <w:sz w:val="32"/>
          <w:szCs w:val="32"/>
          <w:lang w:eastAsia="zh-CN"/>
        </w:rPr>
        <w:t>废铅酸蓄电池</w:t>
      </w:r>
      <w:r>
        <w:rPr>
          <w:rFonts w:hint="default" w:ascii="仿宋_GB2312" w:hAnsi="仿宋_GB2312" w:eastAsia="仿宋_GB2312" w:cs="仿宋_GB2312"/>
          <w:sz w:val="32"/>
          <w:szCs w:val="32"/>
          <w:lang w:eastAsia="zh-CN"/>
        </w:rPr>
        <w:t>年周转量为</w:t>
      </w:r>
      <w:r>
        <w:rPr>
          <w:rFonts w:hint="eastAsia" w:ascii="仿宋_GB2312" w:hAnsi="仿宋_GB2312" w:eastAsia="仿宋_GB2312" w:cs="仿宋_GB2312"/>
          <w:sz w:val="32"/>
          <w:szCs w:val="32"/>
          <w:lang w:val="en-US" w:eastAsia="zh-CN"/>
        </w:rPr>
        <w:t>30000</w:t>
      </w:r>
      <w:r>
        <w:rPr>
          <w:rFonts w:hint="default" w:ascii="仿宋_GB2312" w:hAnsi="仿宋_GB2312" w:eastAsia="仿宋_GB2312" w:cs="仿宋_GB2312"/>
          <w:sz w:val="32"/>
          <w:szCs w:val="32"/>
          <w:lang w:eastAsia="zh-CN"/>
        </w:rPr>
        <w:t>t，</w:t>
      </w:r>
      <w:r>
        <w:rPr>
          <w:rFonts w:hint="eastAsia" w:ascii="仿宋_GB2312" w:hAnsi="仿宋_GB2312" w:eastAsia="仿宋_GB2312" w:cs="仿宋_GB2312"/>
          <w:sz w:val="32"/>
          <w:szCs w:val="32"/>
          <w:lang w:eastAsia="zh-CN"/>
        </w:rPr>
        <w:t>其中</w:t>
      </w:r>
      <w:r>
        <w:rPr>
          <w:rFonts w:hint="default" w:ascii="仿宋_GB2312" w:hAnsi="仿宋_GB2312" w:eastAsia="仿宋_GB2312" w:cs="仿宋_GB2312"/>
          <w:sz w:val="32"/>
          <w:szCs w:val="32"/>
          <w:lang w:eastAsia="zh-CN"/>
        </w:rPr>
        <w:t>破损</w:t>
      </w:r>
      <w:r>
        <w:rPr>
          <w:rFonts w:hint="eastAsia" w:ascii="仿宋_GB2312" w:hAnsi="仿宋_GB2312" w:eastAsia="仿宋_GB2312" w:cs="仿宋_GB2312"/>
          <w:sz w:val="32"/>
          <w:szCs w:val="32"/>
          <w:lang w:eastAsia="zh-CN"/>
        </w:rPr>
        <w:t>废铅酸蓄电池</w:t>
      </w:r>
      <w:r>
        <w:rPr>
          <w:rFonts w:hint="default" w:ascii="仿宋_GB2312" w:hAnsi="仿宋_GB2312" w:eastAsia="仿宋_GB2312" w:cs="仿宋_GB2312"/>
          <w:sz w:val="32"/>
          <w:szCs w:val="32"/>
          <w:lang w:eastAsia="zh-CN"/>
        </w:rPr>
        <w:t>约占年周转量的0.5%，破损</w:t>
      </w:r>
      <w:r>
        <w:rPr>
          <w:rFonts w:hint="eastAsia" w:ascii="仿宋_GB2312" w:hAnsi="仿宋_GB2312" w:eastAsia="仿宋_GB2312" w:cs="仿宋_GB2312"/>
          <w:sz w:val="32"/>
          <w:szCs w:val="32"/>
          <w:lang w:eastAsia="zh-CN"/>
        </w:rPr>
        <w:t>废铅酸蓄电池</w:t>
      </w:r>
      <w:r>
        <w:rPr>
          <w:rFonts w:hint="default" w:ascii="仿宋_GB2312" w:hAnsi="仿宋_GB2312" w:eastAsia="仿宋_GB2312" w:cs="仿宋_GB2312"/>
          <w:sz w:val="32"/>
          <w:szCs w:val="32"/>
          <w:lang w:eastAsia="zh-CN"/>
        </w:rPr>
        <w:t>年周转量约为</w:t>
      </w:r>
      <w:r>
        <w:rPr>
          <w:rFonts w:hint="eastAsia" w:ascii="仿宋_GB2312" w:hAnsi="仿宋_GB2312" w:eastAsia="仿宋_GB2312" w:cs="仿宋_GB2312"/>
          <w:sz w:val="32"/>
          <w:szCs w:val="32"/>
          <w:lang w:val="en-US" w:eastAsia="zh-CN"/>
        </w:rPr>
        <w:t>150</w:t>
      </w:r>
      <w:r>
        <w:rPr>
          <w:rFonts w:hint="default" w:ascii="仿宋_GB2312" w:hAnsi="仿宋_GB2312" w:eastAsia="仿宋_GB2312" w:cs="仿宋_GB2312"/>
          <w:sz w:val="32"/>
          <w:szCs w:val="32"/>
          <w:lang w:eastAsia="zh-CN"/>
        </w:rPr>
        <w:t>t，完整废铅酸蓄电池年周转量为</w:t>
      </w:r>
      <w:r>
        <w:rPr>
          <w:rFonts w:hint="eastAsia" w:ascii="仿宋_GB2312" w:hAnsi="仿宋_GB2312" w:eastAsia="仿宋_GB2312" w:cs="仿宋_GB2312"/>
          <w:sz w:val="32"/>
          <w:szCs w:val="32"/>
          <w:lang w:val="en-US" w:eastAsia="zh-CN"/>
        </w:rPr>
        <w:t>29850</w:t>
      </w:r>
      <w:r>
        <w:rPr>
          <w:rFonts w:hint="default" w:ascii="仿宋_GB2312" w:hAnsi="仿宋_GB2312" w:eastAsia="仿宋_GB2312" w:cs="仿宋_GB2312"/>
          <w:sz w:val="32"/>
          <w:szCs w:val="32"/>
          <w:lang w:eastAsia="zh-CN"/>
        </w:rPr>
        <w:t>t</w:t>
      </w:r>
      <w:r>
        <w:rPr>
          <w:rFonts w:hint="eastAsia" w:ascii="仿宋_GB2312" w:hAnsi="仿宋_GB2312" w:eastAsia="仿宋_GB2312" w:cs="仿宋_GB2312"/>
          <w:sz w:val="32"/>
          <w:szCs w:val="32"/>
          <w:lang w:eastAsia="zh-CN"/>
        </w:rPr>
        <w:t>；仓库最大贮存量为</w:t>
      </w:r>
      <w:r>
        <w:rPr>
          <w:rFonts w:hint="eastAsia" w:ascii="仿宋_GB2312" w:hAnsi="仿宋_GB2312" w:eastAsia="仿宋_GB2312" w:cs="仿宋_GB2312"/>
          <w:sz w:val="32"/>
          <w:szCs w:val="32"/>
          <w:lang w:val="en-US" w:eastAsia="zh-CN"/>
        </w:rPr>
        <w:t>747.9t，其中744t为完整电池，3.9t为破损电池</w:t>
      </w:r>
      <w:r>
        <w:rPr>
          <w:rFonts w:hint="default" w:ascii="仿宋_GB2312" w:hAnsi="仿宋_GB2312" w:eastAsia="仿宋_GB2312" w:cs="仿宋_GB2312"/>
          <w:sz w:val="32"/>
          <w:szCs w:val="32"/>
          <w:lang w:eastAsia="zh-CN"/>
        </w:rPr>
        <w:t>。废</w:t>
      </w:r>
      <w:r>
        <w:rPr>
          <w:rFonts w:hint="eastAsia" w:ascii="仿宋_GB2312" w:hAnsi="仿宋_GB2312" w:eastAsia="仿宋_GB2312" w:cs="仿宋_GB2312"/>
          <w:sz w:val="32"/>
          <w:szCs w:val="32"/>
          <w:lang w:eastAsia="zh-CN"/>
        </w:rPr>
        <w:t>铅酸蓄电池</w:t>
      </w:r>
      <w:r>
        <w:rPr>
          <w:rFonts w:hint="default"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eastAsia="zh-CN"/>
        </w:rPr>
        <w:t>收集贮存后的</w:t>
      </w:r>
      <w:r>
        <w:rPr>
          <w:rFonts w:hint="default" w:ascii="仿宋_GB2312" w:hAnsi="仿宋_GB2312" w:eastAsia="仿宋_GB2312" w:cs="仿宋_GB2312"/>
          <w:sz w:val="32"/>
          <w:szCs w:val="32"/>
          <w:lang w:eastAsia="zh-CN"/>
        </w:rPr>
        <w:t>运输、处置委托有资质单位进行，不在本次评价范围内。扩建项目总投资520万元，其中环保投资20万元，占总投资的3.85%</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扩建项目拟新增员</w:t>
      </w:r>
      <w:r>
        <w:rPr>
          <w:rFonts w:hint="eastAsia" w:ascii="仿宋_GB2312" w:hAnsi="仿宋_GB2312" w:eastAsia="仿宋_GB2312" w:cs="仿宋_GB2312"/>
          <w:sz w:val="32"/>
          <w:szCs w:val="32"/>
          <w:lang w:eastAsia="zh-CN"/>
        </w:rPr>
        <w:t>工</w:t>
      </w:r>
      <w:r>
        <w:rPr>
          <w:rFonts w:hint="default" w:ascii="仿宋_GB2312" w:hAnsi="仿宋_GB2312" w:eastAsia="仿宋_GB2312" w:cs="仿宋_GB2312"/>
          <w:sz w:val="32"/>
          <w:szCs w:val="32"/>
          <w:lang w:eastAsia="zh-CN"/>
        </w:rPr>
        <w:t>10人，年工作时间为365天，三班制，每班8小时</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扩建项目区内不设食宿、办公场所，依托原项目。项目主要建设内容见</w:t>
      </w:r>
      <w:r>
        <w:rPr>
          <w:rFonts w:hint="default" w:ascii="仿宋_GB2312" w:hAnsi="仿宋_GB2312" w:eastAsia="仿宋_GB2312" w:cs="仿宋_GB2312"/>
          <w:sz w:val="32"/>
          <w:szCs w:val="32"/>
          <w:lang w:eastAsia="zh-CN"/>
        </w:rPr>
        <w:fldChar w:fldCharType="begin"/>
      </w:r>
      <w:r>
        <w:rPr>
          <w:rFonts w:hint="default" w:ascii="仿宋_GB2312" w:hAnsi="仿宋_GB2312" w:eastAsia="仿宋_GB2312" w:cs="仿宋_GB2312"/>
          <w:sz w:val="32"/>
          <w:szCs w:val="32"/>
          <w:lang w:eastAsia="zh-CN"/>
        </w:rPr>
        <w:instrText xml:space="preserve"> REF _Ref1741030331 \h </w:instrText>
      </w:r>
      <w:r>
        <w:rPr>
          <w:rFonts w:hint="default" w:ascii="仿宋_GB2312" w:hAnsi="仿宋_GB2312" w:eastAsia="仿宋_GB2312" w:cs="仿宋_GB2312"/>
          <w:sz w:val="32"/>
          <w:szCs w:val="32"/>
          <w:lang w:eastAsia="zh-CN"/>
        </w:rPr>
        <w:fldChar w:fldCharType="separate"/>
      </w:r>
      <w:r>
        <w:rPr>
          <w:rFonts w:hint="default" w:ascii="仿宋_GB2312" w:hAnsi="仿宋_GB2312" w:eastAsia="仿宋_GB2312" w:cs="仿宋_GB2312"/>
          <w:sz w:val="32"/>
          <w:szCs w:val="32"/>
          <w:lang w:eastAsia="zh-CN"/>
        </w:rPr>
        <w:t>表 1</w:t>
      </w:r>
      <w:r>
        <w:rPr>
          <w:rFonts w:hint="default" w:ascii="仿宋_GB2312" w:hAnsi="仿宋_GB2312" w:eastAsia="仿宋_GB2312" w:cs="仿宋_GB2312"/>
          <w:sz w:val="32"/>
          <w:szCs w:val="32"/>
          <w:lang w:eastAsia="zh-CN"/>
        </w:rPr>
        <w:fldChar w:fldCharType="end"/>
      </w:r>
      <w:r>
        <w:rPr>
          <w:rFonts w:hint="default" w:ascii="仿宋_GB2312" w:hAnsi="仿宋_GB2312" w:eastAsia="仿宋_GB2312" w:cs="仿宋_GB2312"/>
          <w:sz w:val="32"/>
          <w:szCs w:val="32"/>
          <w:lang w:eastAsia="zh-CN"/>
        </w:rPr>
        <w:t>。</w:t>
      </w:r>
    </w:p>
    <w:p>
      <w:pPr>
        <w:pStyle w:val="14"/>
        <w:keepNext/>
        <w:jc w:val="center"/>
        <w:outlineLvl w:val="1"/>
        <w:rPr>
          <w:rFonts w:hint="default" w:ascii="Times New Roman" w:hAnsi="Times New Roman" w:eastAsia="仿宋_GB2312" w:cs="Times New Roman"/>
          <w:sz w:val="30"/>
          <w:szCs w:val="30"/>
        </w:rPr>
      </w:pPr>
      <w:bookmarkStart w:id="0" w:name="_Ref1741030331"/>
      <w:r>
        <w:rPr>
          <w:rFonts w:hint="default" w:ascii="Times New Roman" w:hAnsi="Times New Roman" w:eastAsia="仿宋_GB2312" w:cs="Times New Roman"/>
          <w:sz w:val="30"/>
          <w:szCs w:val="30"/>
        </w:rPr>
        <w:t xml:space="preserve">表 </w:t>
      </w:r>
      <w:r>
        <w:rPr>
          <w:rFonts w:hint="default" w:ascii="Times New Roman" w:hAnsi="Times New Roman" w:eastAsia="仿宋_GB2312" w:cs="Times New Roman"/>
          <w:sz w:val="30"/>
          <w:szCs w:val="30"/>
        </w:rPr>
        <w:fldChar w:fldCharType="begin"/>
      </w:r>
      <w:r>
        <w:rPr>
          <w:rFonts w:hint="default" w:ascii="Times New Roman" w:hAnsi="Times New Roman" w:eastAsia="仿宋_GB2312" w:cs="Times New Roman"/>
          <w:sz w:val="30"/>
          <w:szCs w:val="30"/>
        </w:rPr>
        <w:instrText xml:space="preserve"> SEQ 表 \* ARABIC </w:instrText>
      </w:r>
      <w:r>
        <w:rPr>
          <w:rFonts w:hint="default" w:ascii="Times New Roman" w:hAnsi="Times New Roman" w:eastAsia="仿宋_GB2312" w:cs="Times New Roman"/>
          <w:sz w:val="30"/>
          <w:szCs w:val="30"/>
        </w:rPr>
        <w:fldChar w:fldCharType="separate"/>
      </w:r>
      <w:r>
        <w:rPr>
          <w:rFonts w:hint="default" w:ascii="Times New Roman" w:hAnsi="Times New Roman" w:eastAsia="仿宋_GB2312" w:cs="Times New Roman"/>
          <w:sz w:val="30"/>
          <w:szCs w:val="30"/>
        </w:rPr>
        <w:t>1</w:t>
      </w:r>
      <w:r>
        <w:rPr>
          <w:rFonts w:hint="default" w:ascii="Times New Roman" w:hAnsi="Times New Roman" w:eastAsia="仿宋_GB2312" w:cs="Times New Roman"/>
          <w:sz w:val="30"/>
          <w:szCs w:val="30"/>
        </w:rPr>
        <w:fldChar w:fldCharType="end"/>
      </w:r>
      <w:bookmarkEnd w:id="0"/>
      <w:r>
        <w:rPr>
          <w:rFonts w:hint="default" w:ascii="Times New Roman" w:hAnsi="Times New Roman" w:eastAsia="仿宋_GB2312" w:cs="Times New Roman"/>
          <w:sz w:val="30"/>
          <w:szCs w:val="30"/>
        </w:rPr>
        <w:t xml:space="preserve"> </w:t>
      </w:r>
      <w:r>
        <w:rPr>
          <w:rFonts w:hint="eastAsia" w:ascii="Times New Roman" w:hAnsi="Times New Roman" w:eastAsia="仿宋_GB2312" w:cs="Times New Roman"/>
          <w:sz w:val="30"/>
          <w:szCs w:val="30"/>
          <w:lang w:eastAsia="zh-CN"/>
        </w:rPr>
        <w:t>扩建</w:t>
      </w:r>
      <w:r>
        <w:rPr>
          <w:rFonts w:hint="default" w:ascii="Times New Roman" w:hAnsi="Times New Roman" w:eastAsia="仿宋_GB2312" w:cs="Times New Roman"/>
          <w:sz w:val="30"/>
          <w:szCs w:val="30"/>
        </w:rPr>
        <w:t>项目主要建设内容及规模</w:t>
      </w:r>
    </w:p>
    <w:tbl>
      <w:tblPr>
        <w:tblStyle w:val="19"/>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1503"/>
        <w:gridCol w:w="4607"/>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blHeader/>
          <w:jc w:val="center"/>
        </w:trPr>
        <w:tc>
          <w:tcPr>
            <w:tcW w:w="605"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b/>
                <w:color w:val="auto"/>
                <w:sz w:val="21"/>
                <w:szCs w:val="21"/>
                <w:highlight w:val="none"/>
              </w:rPr>
            </w:pPr>
            <w:r>
              <w:rPr>
                <w:b/>
                <w:color w:val="auto"/>
                <w:sz w:val="21"/>
                <w:szCs w:val="21"/>
                <w:highlight w:val="none"/>
              </w:rPr>
              <w:t>工程类别</w:t>
            </w:r>
          </w:p>
        </w:tc>
        <w:tc>
          <w:tcPr>
            <w:tcW w:w="830"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b/>
                <w:color w:val="auto"/>
                <w:sz w:val="21"/>
                <w:szCs w:val="21"/>
                <w:highlight w:val="none"/>
              </w:rPr>
            </w:pPr>
            <w:r>
              <w:rPr>
                <w:b/>
                <w:color w:val="auto"/>
                <w:sz w:val="21"/>
                <w:szCs w:val="21"/>
                <w:highlight w:val="none"/>
              </w:rPr>
              <w:t>工程名称</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b/>
                <w:color w:val="auto"/>
                <w:sz w:val="21"/>
                <w:szCs w:val="21"/>
                <w:highlight w:val="none"/>
              </w:rPr>
            </w:pPr>
            <w:r>
              <w:rPr>
                <w:b/>
                <w:color w:val="auto"/>
                <w:sz w:val="21"/>
                <w:szCs w:val="21"/>
                <w:highlight w:val="none"/>
              </w:rPr>
              <w:t>工程内容</w:t>
            </w:r>
          </w:p>
        </w:tc>
        <w:tc>
          <w:tcPr>
            <w:tcW w:w="1019"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b/>
                <w:color w:val="auto"/>
                <w:sz w:val="21"/>
                <w:szCs w:val="21"/>
                <w:highlight w:val="none"/>
              </w:rPr>
            </w:pPr>
            <w:r>
              <w:rPr>
                <w:rFonts w:hint="eastAsia"/>
                <w:b/>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color w:val="auto"/>
                <w:sz w:val="21"/>
                <w:szCs w:val="21"/>
                <w:highlight w:val="none"/>
              </w:rPr>
              <w:t>主体工程</w:t>
            </w:r>
          </w:p>
        </w:tc>
        <w:tc>
          <w:tcPr>
            <w:tcW w:w="830" w:type="pct"/>
            <w:noWrap w:val="0"/>
            <w:vAlign w:val="center"/>
          </w:tcPr>
          <w:p>
            <w:pPr>
              <w:keepNext w:val="0"/>
              <w:keepLines w:val="0"/>
              <w:pageBreakBefore w:val="0"/>
              <w:kinsoku/>
              <w:wordWrap/>
              <w:overflowPunct/>
              <w:topLinePunct w:val="0"/>
              <w:autoSpaceDE/>
              <w:autoSpaceDN/>
              <w:bidi w:val="0"/>
              <w:snapToGrid w:val="0"/>
              <w:spacing w:line="240" w:lineRule="auto"/>
              <w:jc w:val="center"/>
              <w:rPr>
                <w:rFonts w:hint="eastAsia"/>
                <w:color w:val="auto"/>
                <w:sz w:val="21"/>
                <w:szCs w:val="21"/>
                <w:highlight w:val="none"/>
              </w:rPr>
            </w:pPr>
            <w:r>
              <w:rPr>
                <w:rFonts w:hint="eastAsia" w:ascii="宋体" w:hAnsi="宋体" w:eastAsia="宋体" w:cs="宋体"/>
                <w:i w:val="0"/>
                <w:iCs w:val="0"/>
                <w:color w:val="auto"/>
                <w:kern w:val="0"/>
                <w:sz w:val="21"/>
                <w:szCs w:val="21"/>
                <w:u w:val="none"/>
                <w:lang w:val="en-US" w:eastAsia="zh-CN" w:bidi="ar"/>
              </w:rPr>
              <w:t>完整废铅酸蓄电池存放A区</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eastAsia="仿宋_GB2312"/>
                <w:color w:val="auto"/>
                <w:sz w:val="21"/>
                <w:szCs w:val="21"/>
                <w:highlight w:val="none"/>
                <w:lang w:eastAsia="zh-CN"/>
              </w:rPr>
            </w:pPr>
            <w:r>
              <w:rPr>
                <w:rFonts w:hint="eastAsia"/>
                <w:color w:val="auto"/>
                <w:sz w:val="21"/>
                <w:szCs w:val="21"/>
                <w:highlight w:val="none"/>
                <w:lang w:val="en-US" w:eastAsia="zh-CN"/>
              </w:rPr>
              <w:t>66</w:t>
            </w:r>
            <w:r>
              <w:rPr>
                <w:color w:val="auto"/>
                <w:sz w:val="21"/>
                <w:szCs w:val="21"/>
                <w:highlight w:val="none"/>
              </w:rPr>
              <w:t>m</w:t>
            </w:r>
            <w:r>
              <w:rPr>
                <w:color w:val="auto"/>
                <w:sz w:val="21"/>
                <w:szCs w:val="21"/>
                <w:highlight w:val="none"/>
                <w:vertAlign w:val="superscript"/>
              </w:rPr>
              <w:t>2</w:t>
            </w:r>
            <w:r>
              <w:rPr>
                <w:color w:val="auto"/>
                <w:sz w:val="21"/>
                <w:szCs w:val="21"/>
                <w:highlight w:val="none"/>
              </w:rPr>
              <w:t>；用于储存完好的</w:t>
            </w:r>
            <w:r>
              <w:rPr>
                <w:rFonts w:hint="eastAsia"/>
                <w:color w:val="auto"/>
                <w:sz w:val="21"/>
                <w:szCs w:val="21"/>
                <w:highlight w:val="none"/>
                <w:lang w:eastAsia="zh-CN"/>
              </w:rPr>
              <w:t>废铅酸蓄电池</w:t>
            </w:r>
          </w:p>
        </w:tc>
        <w:tc>
          <w:tcPr>
            <w:tcW w:w="1019"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rFonts w:hint="eastAsia"/>
                <w:color w:val="auto"/>
                <w:sz w:val="21"/>
                <w:szCs w:val="21"/>
                <w:highlight w:val="none"/>
              </w:rPr>
              <w:t>完整</w:t>
            </w:r>
            <w:r>
              <w:rPr>
                <w:rFonts w:hint="eastAsia"/>
                <w:color w:val="auto"/>
                <w:sz w:val="21"/>
                <w:szCs w:val="21"/>
                <w:highlight w:val="none"/>
                <w:lang w:val="en-US" w:eastAsia="zh-CN"/>
              </w:rPr>
              <w:t>废铅酸蓄电池</w:t>
            </w:r>
            <w:r>
              <w:rPr>
                <w:rFonts w:hint="eastAsia"/>
                <w:color w:val="auto"/>
                <w:sz w:val="21"/>
                <w:szCs w:val="21"/>
                <w:highlight w:val="none"/>
              </w:rPr>
              <w:t>存放区总</w:t>
            </w:r>
            <w:r>
              <w:rPr>
                <w:rFonts w:hint="eastAsia"/>
                <w:color w:val="auto"/>
                <w:sz w:val="21"/>
                <w:szCs w:val="21"/>
                <w:highlight w:val="none"/>
                <w:lang w:val="en-US" w:eastAsia="zh-CN"/>
              </w:rPr>
              <w:t>占地</w:t>
            </w:r>
            <w:r>
              <w:rPr>
                <w:rFonts w:hint="eastAsia"/>
                <w:color w:val="auto"/>
                <w:sz w:val="21"/>
                <w:szCs w:val="21"/>
                <w:highlight w:val="none"/>
              </w:rPr>
              <w:t>面积为</w:t>
            </w:r>
            <w:r>
              <w:rPr>
                <w:rFonts w:hint="eastAsia"/>
                <w:color w:val="auto"/>
                <w:sz w:val="21"/>
                <w:szCs w:val="21"/>
                <w:highlight w:val="none"/>
                <w:lang w:val="en-US" w:eastAsia="zh-CN"/>
              </w:rPr>
              <w:t>425</w:t>
            </w:r>
            <w:r>
              <w:rPr>
                <w:color w:val="auto"/>
                <w:sz w:val="21"/>
                <w:szCs w:val="21"/>
                <w:highlight w:val="none"/>
              </w:rPr>
              <w:t>m</w:t>
            </w:r>
            <w:r>
              <w:rPr>
                <w:color w:val="auto"/>
                <w:sz w:val="21"/>
                <w:szCs w:val="21"/>
                <w:highlight w:val="none"/>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color w:val="auto"/>
                <w:sz w:val="21"/>
                <w:szCs w:val="21"/>
                <w:highlight w:val="none"/>
              </w:rPr>
            </w:pPr>
            <w:r>
              <w:rPr>
                <w:rFonts w:hint="eastAsia" w:ascii="宋体" w:hAnsi="宋体" w:eastAsia="宋体" w:cs="宋体"/>
                <w:i w:val="0"/>
                <w:iCs w:val="0"/>
                <w:color w:val="auto"/>
                <w:kern w:val="0"/>
                <w:sz w:val="21"/>
                <w:szCs w:val="21"/>
                <w:u w:val="none"/>
                <w:lang w:val="en-US" w:eastAsia="zh-CN" w:bidi="ar"/>
              </w:rPr>
              <w:t>完整废铅酸蓄电池存放B区</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eastAsia="仿宋_GB2312"/>
                <w:color w:val="auto"/>
                <w:sz w:val="21"/>
                <w:szCs w:val="21"/>
                <w:highlight w:val="none"/>
                <w:lang w:eastAsia="zh-CN"/>
              </w:rPr>
            </w:pPr>
            <w:r>
              <w:rPr>
                <w:rFonts w:hint="eastAsia"/>
                <w:color w:val="auto"/>
                <w:sz w:val="21"/>
                <w:szCs w:val="21"/>
                <w:highlight w:val="none"/>
                <w:lang w:val="en-US" w:eastAsia="zh-CN"/>
              </w:rPr>
              <w:t>57</w:t>
            </w:r>
            <w:r>
              <w:rPr>
                <w:color w:val="auto"/>
                <w:sz w:val="21"/>
                <w:szCs w:val="21"/>
                <w:highlight w:val="none"/>
              </w:rPr>
              <w:t>m</w:t>
            </w:r>
            <w:r>
              <w:rPr>
                <w:color w:val="auto"/>
                <w:sz w:val="21"/>
                <w:szCs w:val="21"/>
                <w:highlight w:val="none"/>
                <w:vertAlign w:val="superscript"/>
              </w:rPr>
              <w:t>2</w:t>
            </w:r>
            <w:r>
              <w:rPr>
                <w:color w:val="auto"/>
                <w:sz w:val="21"/>
                <w:szCs w:val="21"/>
                <w:highlight w:val="none"/>
              </w:rPr>
              <w:t>；用于储存完好的</w:t>
            </w:r>
            <w:r>
              <w:rPr>
                <w:rFonts w:hint="eastAsia"/>
                <w:color w:val="auto"/>
                <w:sz w:val="21"/>
                <w:szCs w:val="21"/>
                <w:highlight w:val="none"/>
                <w:lang w:eastAsia="zh-CN"/>
              </w:rPr>
              <w:t>废铅酸蓄电池</w:t>
            </w:r>
          </w:p>
        </w:tc>
        <w:tc>
          <w:tcPr>
            <w:tcW w:w="1019"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完整废铅酸蓄电池存放C区</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eastAsia="仿宋_GB2312"/>
                <w:color w:val="auto"/>
                <w:sz w:val="21"/>
                <w:szCs w:val="21"/>
                <w:highlight w:val="none"/>
                <w:lang w:eastAsia="zh-CN"/>
              </w:rPr>
            </w:pPr>
            <w:r>
              <w:rPr>
                <w:rFonts w:hint="eastAsia"/>
                <w:color w:val="auto"/>
                <w:sz w:val="21"/>
                <w:szCs w:val="21"/>
                <w:highlight w:val="none"/>
                <w:lang w:val="en-US" w:eastAsia="zh-CN"/>
              </w:rPr>
              <w:t>46</w:t>
            </w:r>
            <w:r>
              <w:rPr>
                <w:color w:val="auto"/>
                <w:sz w:val="21"/>
                <w:szCs w:val="21"/>
                <w:highlight w:val="none"/>
              </w:rPr>
              <w:t>m</w:t>
            </w:r>
            <w:r>
              <w:rPr>
                <w:color w:val="auto"/>
                <w:sz w:val="21"/>
                <w:szCs w:val="21"/>
                <w:highlight w:val="none"/>
                <w:vertAlign w:val="superscript"/>
              </w:rPr>
              <w:t>2</w:t>
            </w:r>
            <w:r>
              <w:rPr>
                <w:color w:val="auto"/>
                <w:sz w:val="21"/>
                <w:szCs w:val="21"/>
                <w:highlight w:val="none"/>
              </w:rPr>
              <w:t>；用于储存完好的</w:t>
            </w:r>
            <w:r>
              <w:rPr>
                <w:rFonts w:hint="eastAsia"/>
                <w:color w:val="auto"/>
                <w:sz w:val="21"/>
                <w:szCs w:val="21"/>
                <w:highlight w:val="none"/>
                <w:lang w:eastAsia="zh-CN"/>
              </w:rPr>
              <w:t>废铅酸蓄电池</w:t>
            </w:r>
          </w:p>
        </w:tc>
        <w:tc>
          <w:tcPr>
            <w:tcW w:w="1019"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完整废铅酸蓄电池存放D区</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eastAsia="仿宋_GB2312"/>
                <w:color w:val="auto"/>
                <w:sz w:val="21"/>
                <w:szCs w:val="21"/>
                <w:highlight w:val="none"/>
                <w:lang w:eastAsia="zh-CN"/>
              </w:rPr>
            </w:pPr>
            <w:r>
              <w:rPr>
                <w:rFonts w:hint="eastAsia"/>
                <w:color w:val="auto"/>
                <w:sz w:val="21"/>
                <w:szCs w:val="21"/>
                <w:highlight w:val="none"/>
                <w:lang w:val="en-US" w:eastAsia="zh-CN"/>
              </w:rPr>
              <w:t>46</w:t>
            </w:r>
            <w:r>
              <w:rPr>
                <w:color w:val="auto"/>
                <w:sz w:val="21"/>
                <w:szCs w:val="21"/>
                <w:highlight w:val="none"/>
              </w:rPr>
              <w:t>m</w:t>
            </w:r>
            <w:r>
              <w:rPr>
                <w:color w:val="auto"/>
                <w:sz w:val="21"/>
                <w:szCs w:val="21"/>
                <w:highlight w:val="none"/>
                <w:vertAlign w:val="superscript"/>
              </w:rPr>
              <w:t>2</w:t>
            </w:r>
            <w:r>
              <w:rPr>
                <w:color w:val="auto"/>
                <w:sz w:val="21"/>
                <w:szCs w:val="21"/>
                <w:highlight w:val="none"/>
              </w:rPr>
              <w:t>；用于储存完好的</w:t>
            </w:r>
            <w:r>
              <w:rPr>
                <w:rFonts w:hint="eastAsia"/>
                <w:color w:val="auto"/>
                <w:sz w:val="21"/>
                <w:szCs w:val="21"/>
                <w:highlight w:val="none"/>
                <w:lang w:eastAsia="zh-CN"/>
              </w:rPr>
              <w:t>废铅酸蓄电池</w:t>
            </w:r>
          </w:p>
        </w:tc>
        <w:tc>
          <w:tcPr>
            <w:tcW w:w="1019"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完整废铅酸蓄电池存放E区</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eastAsia="仿宋_GB2312"/>
                <w:color w:val="auto"/>
                <w:sz w:val="21"/>
                <w:szCs w:val="21"/>
                <w:highlight w:val="none"/>
                <w:lang w:eastAsia="zh-CN"/>
              </w:rPr>
            </w:pPr>
            <w:r>
              <w:rPr>
                <w:rFonts w:hint="eastAsia"/>
                <w:color w:val="auto"/>
                <w:sz w:val="21"/>
                <w:szCs w:val="21"/>
                <w:highlight w:val="none"/>
                <w:lang w:val="en-US" w:eastAsia="zh-CN"/>
              </w:rPr>
              <w:t>72</w:t>
            </w:r>
            <w:r>
              <w:rPr>
                <w:color w:val="auto"/>
                <w:sz w:val="21"/>
                <w:szCs w:val="21"/>
                <w:highlight w:val="none"/>
              </w:rPr>
              <w:t>m</w:t>
            </w:r>
            <w:r>
              <w:rPr>
                <w:color w:val="auto"/>
                <w:sz w:val="21"/>
                <w:szCs w:val="21"/>
                <w:highlight w:val="none"/>
                <w:vertAlign w:val="superscript"/>
              </w:rPr>
              <w:t>2</w:t>
            </w:r>
            <w:r>
              <w:rPr>
                <w:color w:val="auto"/>
                <w:sz w:val="21"/>
                <w:szCs w:val="21"/>
                <w:highlight w:val="none"/>
              </w:rPr>
              <w:t>；用于储存完好的</w:t>
            </w:r>
            <w:r>
              <w:rPr>
                <w:rFonts w:hint="eastAsia"/>
                <w:color w:val="auto"/>
                <w:sz w:val="21"/>
                <w:szCs w:val="21"/>
                <w:highlight w:val="none"/>
                <w:lang w:eastAsia="zh-CN"/>
              </w:rPr>
              <w:t>废铅酸蓄电池</w:t>
            </w:r>
          </w:p>
        </w:tc>
        <w:tc>
          <w:tcPr>
            <w:tcW w:w="1019"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完整废铅酸蓄电池存放F区</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eastAsia="仿宋_GB2312"/>
                <w:color w:val="auto"/>
                <w:sz w:val="21"/>
                <w:szCs w:val="21"/>
                <w:highlight w:val="none"/>
                <w:lang w:eastAsia="zh-CN"/>
              </w:rPr>
            </w:pPr>
            <w:r>
              <w:rPr>
                <w:rFonts w:hint="eastAsia"/>
                <w:color w:val="auto"/>
                <w:sz w:val="21"/>
                <w:szCs w:val="21"/>
                <w:highlight w:val="none"/>
                <w:lang w:val="en-US" w:eastAsia="zh-CN"/>
              </w:rPr>
              <w:t>72</w:t>
            </w:r>
            <w:r>
              <w:rPr>
                <w:color w:val="auto"/>
                <w:sz w:val="21"/>
                <w:szCs w:val="21"/>
                <w:highlight w:val="none"/>
              </w:rPr>
              <w:t>m</w:t>
            </w:r>
            <w:r>
              <w:rPr>
                <w:color w:val="auto"/>
                <w:sz w:val="21"/>
                <w:szCs w:val="21"/>
                <w:highlight w:val="none"/>
                <w:vertAlign w:val="superscript"/>
              </w:rPr>
              <w:t>2</w:t>
            </w:r>
            <w:r>
              <w:rPr>
                <w:color w:val="auto"/>
                <w:sz w:val="21"/>
                <w:szCs w:val="21"/>
                <w:highlight w:val="none"/>
              </w:rPr>
              <w:t>；用于储存完好的</w:t>
            </w:r>
            <w:r>
              <w:rPr>
                <w:rFonts w:hint="eastAsia"/>
                <w:color w:val="auto"/>
                <w:sz w:val="21"/>
                <w:szCs w:val="21"/>
                <w:highlight w:val="none"/>
                <w:lang w:eastAsia="zh-CN"/>
              </w:rPr>
              <w:t>废铅酸蓄电池</w:t>
            </w:r>
          </w:p>
        </w:tc>
        <w:tc>
          <w:tcPr>
            <w:tcW w:w="1019"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完整废铅酸蓄电池存放G区</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eastAsia="仿宋_GB2312"/>
                <w:color w:val="auto"/>
                <w:sz w:val="21"/>
                <w:szCs w:val="21"/>
                <w:highlight w:val="none"/>
                <w:lang w:eastAsia="zh-CN"/>
              </w:rPr>
            </w:pPr>
            <w:r>
              <w:rPr>
                <w:rFonts w:hint="eastAsia"/>
                <w:color w:val="auto"/>
                <w:sz w:val="21"/>
                <w:szCs w:val="21"/>
                <w:highlight w:val="none"/>
                <w:lang w:val="en-US" w:eastAsia="zh-CN"/>
              </w:rPr>
              <w:t>43</w:t>
            </w:r>
            <w:r>
              <w:rPr>
                <w:color w:val="auto"/>
                <w:sz w:val="21"/>
                <w:szCs w:val="21"/>
                <w:highlight w:val="none"/>
              </w:rPr>
              <w:t>m</w:t>
            </w:r>
            <w:r>
              <w:rPr>
                <w:color w:val="auto"/>
                <w:sz w:val="21"/>
                <w:szCs w:val="21"/>
                <w:highlight w:val="none"/>
                <w:vertAlign w:val="superscript"/>
              </w:rPr>
              <w:t>2</w:t>
            </w:r>
            <w:r>
              <w:rPr>
                <w:color w:val="auto"/>
                <w:sz w:val="21"/>
                <w:szCs w:val="21"/>
                <w:highlight w:val="none"/>
              </w:rPr>
              <w:t>；用于储存完好的</w:t>
            </w:r>
            <w:r>
              <w:rPr>
                <w:rFonts w:hint="eastAsia"/>
                <w:color w:val="auto"/>
                <w:sz w:val="21"/>
                <w:szCs w:val="21"/>
                <w:highlight w:val="none"/>
                <w:lang w:eastAsia="zh-CN"/>
              </w:rPr>
              <w:t>废铅酸蓄电池</w:t>
            </w:r>
          </w:p>
        </w:tc>
        <w:tc>
          <w:tcPr>
            <w:tcW w:w="1019"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完整废铅酸蓄电池存放H区</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eastAsia="仿宋_GB2312"/>
                <w:color w:val="auto"/>
                <w:sz w:val="21"/>
                <w:szCs w:val="21"/>
                <w:highlight w:val="none"/>
                <w:lang w:eastAsia="zh-CN"/>
              </w:rPr>
            </w:pPr>
            <w:r>
              <w:rPr>
                <w:rFonts w:hint="eastAsia"/>
                <w:color w:val="auto"/>
                <w:sz w:val="21"/>
                <w:szCs w:val="21"/>
                <w:highlight w:val="none"/>
                <w:lang w:val="en-US" w:eastAsia="zh-CN"/>
              </w:rPr>
              <w:t>23</w:t>
            </w:r>
            <w:r>
              <w:rPr>
                <w:color w:val="auto"/>
                <w:sz w:val="21"/>
                <w:szCs w:val="21"/>
                <w:highlight w:val="none"/>
              </w:rPr>
              <w:t>m</w:t>
            </w:r>
            <w:r>
              <w:rPr>
                <w:color w:val="auto"/>
                <w:sz w:val="21"/>
                <w:szCs w:val="21"/>
                <w:highlight w:val="none"/>
                <w:vertAlign w:val="superscript"/>
              </w:rPr>
              <w:t>2</w:t>
            </w:r>
            <w:r>
              <w:rPr>
                <w:color w:val="auto"/>
                <w:sz w:val="21"/>
                <w:szCs w:val="21"/>
                <w:highlight w:val="none"/>
              </w:rPr>
              <w:t>；用于储存完好的</w:t>
            </w:r>
            <w:r>
              <w:rPr>
                <w:rFonts w:hint="eastAsia"/>
                <w:color w:val="auto"/>
                <w:sz w:val="21"/>
                <w:szCs w:val="21"/>
                <w:highlight w:val="none"/>
                <w:lang w:eastAsia="zh-CN"/>
              </w:rPr>
              <w:t>废铅酸蓄电池</w:t>
            </w:r>
          </w:p>
        </w:tc>
        <w:tc>
          <w:tcPr>
            <w:tcW w:w="1019"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破损废铅酸蓄电池存放区</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rFonts w:hint="eastAsia"/>
                <w:color w:val="auto"/>
                <w:sz w:val="21"/>
                <w:szCs w:val="21"/>
                <w:highlight w:val="none"/>
                <w:lang w:val="en-US" w:eastAsia="zh-CN"/>
              </w:rPr>
              <w:t>26</w:t>
            </w:r>
            <w:r>
              <w:rPr>
                <w:color w:val="auto"/>
                <w:sz w:val="21"/>
                <w:szCs w:val="21"/>
                <w:highlight w:val="none"/>
              </w:rPr>
              <w:t>m</w:t>
            </w:r>
            <w:r>
              <w:rPr>
                <w:color w:val="auto"/>
                <w:sz w:val="21"/>
                <w:szCs w:val="21"/>
                <w:highlight w:val="none"/>
                <w:vertAlign w:val="superscript"/>
              </w:rPr>
              <w:t>2</w:t>
            </w:r>
            <w:r>
              <w:rPr>
                <w:color w:val="auto"/>
                <w:sz w:val="21"/>
                <w:szCs w:val="21"/>
                <w:highlight w:val="none"/>
              </w:rPr>
              <w:t>；</w:t>
            </w:r>
            <w:r>
              <w:rPr>
                <w:rFonts w:hint="eastAsia"/>
                <w:color w:val="auto"/>
                <w:sz w:val="21"/>
                <w:szCs w:val="21"/>
                <w:highlight w:val="none"/>
              </w:rPr>
              <w:t>用于储存</w:t>
            </w:r>
            <w:r>
              <w:rPr>
                <w:rFonts w:hint="eastAsia"/>
                <w:color w:val="auto"/>
                <w:sz w:val="21"/>
                <w:szCs w:val="21"/>
                <w:highlight w:val="none"/>
                <w:lang w:val="en-US" w:eastAsia="zh-CN"/>
              </w:rPr>
              <w:t>破损的</w:t>
            </w:r>
            <w:r>
              <w:rPr>
                <w:rFonts w:hint="eastAsia"/>
                <w:color w:val="auto"/>
                <w:sz w:val="21"/>
                <w:szCs w:val="21"/>
                <w:highlight w:val="none"/>
              </w:rPr>
              <w:t>废铅蓄电</w:t>
            </w:r>
            <w:r>
              <w:rPr>
                <w:rFonts w:hint="eastAsia"/>
                <w:color w:val="auto"/>
                <w:sz w:val="21"/>
                <w:szCs w:val="21"/>
                <w:highlight w:val="none"/>
                <w:lang w:eastAsia="zh-CN"/>
              </w:rPr>
              <w:t>，</w:t>
            </w:r>
            <w:r>
              <w:rPr>
                <w:color w:val="auto"/>
                <w:sz w:val="21"/>
                <w:szCs w:val="21"/>
                <w:highlight w:val="none"/>
              </w:rPr>
              <w:t>为独立</w:t>
            </w:r>
            <w:r>
              <w:rPr>
                <w:rFonts w:hint="eastAsia"/>
                <w:color w:val="auto"/>
                <w:sz w:val="21"/>
                <w:szCs w:val="21"/>
                <w:highlight w:val="none"/>
                <w:lang w:val="en-US" w:eastAsia="zh-CN"/>
              </w:rPr>
              <w:t>封闭储存</w:t>
            </w:r>
            <w:r>
              <w:rPr>
                <w:color w:val="auto"/>
                <w:sz w:val="21"/>
                <w:szCs w:val="21"/>
                <w:highlight w:val="none"/>
              </w:rPr>
              <w:t>空间</w:t>
            </w:r>
          </w:p>
        </w:tc>
        <w:tc>
          <w:tcPr>
            <w:tcW w:w="1019"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r>
              <w:rPr>
                <w:color w:val="auto"/>
                <w:sz w:val="21"/>
                <w:szCs w:val="21"/>
                <w:highlight w:val="none"/>
              </w:rPr>
              <w:t>破损</w:t>
            </w:r>
            <w:r>
              <w:rPr>
                <w:rFonts w:hint="eastAsia"/>
                <w:color w:val="auto"/>
                <w:sz w:val="21"/>
                <w:szCs w:val="21"/>
                <w:highlight w:val="none"/>
                <w:lang w:val="en-US" w:eastAsia="zh-CN"/>
              </w:rPr>
              <w:t>废铅酸蓄电池存放</w:t>
            </w:r>
            <w:r>
              <w:rPr>
                <w:color w:val="auto"/>
                <w:sz w:val="21"/>
                <w:szCs w:val="21"/>
                <w:highlight w:val="none"/>
              </w:rPr>
              <w:t>区</w:t>
            </w:r>
            <w:r>
              <w:rPr>
                <w:rFonts w:hint="eastAsia"/>
                <w:color w:val="auto"/>
                <w:sz w:val="21"/>
                <w:szCs w:val="21"/>
                <w:highlight w:val="none"/>
                <w:lang w:val="en-US" w:eastAsia="zh-CN"/>
              </w:rPr>
              <w:t>总占地</w:t>
            </w:r>
            <w:r>
              <w:rPr>
                <w:rFonts w:hint="eastAsia"/>
                <w:color w:val="auto"/>
                <w:sz w:val="21"/>
                <w:szCs w:val="21"/>
                <w:highlight w:val="none"/>
              </w:rPr>
              <w:t>面积为</w:t>
            </w:r>
            <w:r>
              <w:rPr>
                <w:rFonts w:hint="eastAsia"/>
                <w:color w:val="auto"/>
                <w:sz w:val="21"/>
                <w:szCs w:val="21"/>
                <w:highlight w:val="none"/>
                <w:lang w:val="en-US" w:eastAsia="zh-CN"/>
              </w:rPr>
              <w:t>26</w:t>
            </w:r>
            <w:r>
              <w:rPr>
                <w:color w:val="auto"/>
                <w:sz w:val="21"/>
                <w:szCs w:val="21"/>
                <w:highlight w:val="none"/>
              </w:rPr>
              <w:t>m</w:t>
            </w:r>
            <w:r>
              <w:rPr>
                <w:color w:val="auto"/>
                <w:sz w:val="21"/>
                <w:szCs w:val="21"/>
                <w:highlight w:val="none"/>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通道</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eastAsia="宋体"/>
                <w:color w:val="auto"/>
                <w:sz w:val="21"/>
                <w:szCs w:val="21"/>
                <w:highlight w:val="none"/>
                <w:lang w:val="en-US" w:eastAsia="zh-CN"/>
              </w:rPr>
            </w:pPr>
            <w:r>
              <w:rPr>
                <w:rFonts w:hint="eastAsia"/>
                <w:color w:val="auto"/>
                <w:sz w:val="21"/>
                <w:szCs w:val="21"/>
                <w:highlight w:val="none"/>
              </w:rPr>
              <w:t>占地面积</w:t>
            </w:r>
            <w:r>
              <w:rPr>
                <w:rFonts w:hint="eastAsia"/>
                <w:color w:val="auto"/>
                <w:sz w:val="21"/>
                <w:szCs w:val="21"/>
                <w:highlight w:val="none"/>
                <w:lang w:val="en-US" w:eastAsia="zh-CN"/>
              </w:rPr>
              <w:t>265</w:t>
            </w:r>
            <w:r>
              <w:rPr>
                <w:color w:val="auto"/>
                <w:sz w:val="21"/>
                <w:szCs w:val="21"/>
                <w:highlight w:val="none"/>
              </w:rPr>
              <w:t>m</w:t>
            </w:r>
            <w:r>
              <w:rPr>
                <w:color w:val="auto"/>
                <w:sz w:val="21"/>
                <w:szCs w:val="21"/>
                <w:highlight w:val="none"/>
                <w:vertAlign w:val="superscript"/>
              </w:rPr>
              <w:t>2</w:t>
            </w:r>
            <w:r>
              <w:rPr>
                <w:rFonts w:hint="eastAsia"/>
                <w:color w:val="auto"/>
                <w:sz w:val="21"/>
                <w:szCs w:val="21"/>
                <w:highlight w:val="none"/>
                <w:vertAlign w:val="baseline"/>
                <w:lang w:eastAsia="zh-CN"/>
              </w:rPr>
              <w:t>，</w:t>
            </w:r>
            <w:r>
              <w:rPr>
                <w:rFonts w:hint="eastAsia"/>
                <w:color w:val="auto"/>
                <w:sz w:val="21"/>
                <w:szCs w:val="21"/>
                <w:highlight w:val="none"/>
                <w:vertAlign w:val="baseline"/>
                <w:lang w:val="en-US" w:eastAsia="zh-CN"/>
              </w:rPr>
              <w:t>储存区间最小通道为1.2m</w:t>
            </w:r>
          </w:p>
        </w:tc>
        <w:tc>
          <w:tcPr>
            <w:tcW w:w="1019"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rFonts w:hint="eastAsia"/>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导流沟</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rFonts w:hint="eastAsia"/>
                <w:color w:val="auto"/>
                <w:sz w:val="21"/>
                <w:szCs w:val="21"/>
                <w:highlight w:val="none"/>
                <w:lang w:val="en-US" w:eastAsia="zh-CN"/>
              </w:rPr>
              <w:t>有效容积3.45</w:t>
            </w:r>
            <w:r>
              <w:rPr>
                <w:color w:val="auto"/>
                <w:sz w:val="21"/>
                <w:szCs w:val="21"/>
                <w:highlight w:val="none"/>
              </w:rPr>
              <w:t>m</w:t>
            </w:r>
            <w:r>
              <w:rPr>
                <w:rFonts w:hint="eastAsia"/>
                <w:color w:val="auto"/>
                <w:sz w:val="21"/>
                <w:szCs w:val="21"/>
                <w:highlight w:val="none"/>
                <w:vertAlign w:val="superscript"/>
              </w:rPr>
              <w:t>3</w:t>
            </w:r>
            <w:r>
              <w:rPr>
                <w:rFonts w:hint="eastAsia"/>
                <w:color w:val="auto"/>
                <w:sz w:val="21"/>
                <w:szCs w:val="21"/>
                <w:highlight w:val="none"/>
              </w:rPr>
              <w:t>，长度</w:t>
            </w:r>
            <w:r>
              <w:rPr>
                <w:rFonts w:hint="eastAsia"/>
                <w:color w:val="auto"/>
                <w:sz w:val="21"/>
                <w:szCs w:val="21"/>
                <w:highlight w:val="none"/>
                <w:lang w:val="en-US" w:eastAsia="zh-CN"/>
              </w:rPr>
              <w:t>115</w:t>
            </w:r>
            <w:r>
              <w:rPr>
                <w:color w:val="auto"/>
                <w:sz w:val="21"/>
                <w:szCs w:val="21"/>
                <w:highlight w:val="none"/>
              </w:rPr>
              <w:t>m</w:t>
            </w:r>
            <w:r>
              <w:rPr>
                <w:rFonts w:hint="eastAsia"/>
                <w:color w:val="auto"/>
                <w:sz w:val="21"/>
                <w:szCs w:val="21"/>
                <w:highlight w:val="none"/>
              </w:rPr>
              <w:t>、宽度</w:t>
            </w:r>
            <w:r>
              <w:rPr>
                <w:rFonts w:hint="eastAsia"/>
                <w:color w:val="auto"/>
                <w:sz w:val="21"/>
                <w:szCs w:val="21"/>
                <w:highlight w:val="none"/>
                <w:lang w:val="en-US" w:eastAsia="zh-CN"/>
              </w:rPr>
              <w:t>0.2</w:t>
            </w:r>
            <w:r>
              <w:rPr>
                <w:color w:val="auto"/>
                <w:sz w:val="21"/>
                <w:szCs w:val="21"/>
                <w:highlight w:val="none"/>
              </w:rPr>
              <w:t>m</w:t>
            </w:r>
            <w:r>
              <w:rPr>
                <w:rFonts w:hint="eastAsia"/>
                <w:color w:val="auto"/>
                <w:sz w:val="21"/>
                <w:szCs w:val="21"/>
                <w:highlight w:val="none"/>
              </w:rPr>
              <w:t>、深度0.15</w:t>
            </w:r>
            <w:r>
              <w:rPr>
                <w:color w:val="auto"/>
                <w:sz w:val="21"/>
                <w:szCs w:val="21"/>
                <w:highlight w:val="none"/>
              </w:rPr>
              <w:t>m</w:t>
            </w:r>
          </w:p>
        </w:tc>
        <w:tc>
          <w:tcPr>
            <w:tcW w:w="1019"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r>
              <w:rPr>
                <w:rFonts w:hint="eastAsia"/>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rFonts w:hint="eastAsia"/>
                <w:color w:val="auto"/>
                <w:sz w:val="21"/>
                <w:szCs w:val="21"/>
                <w:highlight w:val="none"/>
              </w:rPr>
              <w:t>依托</w:t>
            </w:r>
            <w:r>
              <w:rPr>
                <w:color w:val="auto"/>
                <w:sz w:val="21"/>
                <w:szCs w:val="21"/>
                <w:highlight w:val="none"/>
              </w:rPr>
              <w:t>工程</w:t>
            </w: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员工办公、用餐</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rFonts w:hint="eastAsia"/>
                <w:color w:val="auto"/>
                <w:sz w:val="21"/>
                <w:szCs w:val="21"/>
                <w:highlight w:val="none"/>
              </w:rPr>
              <w:t>依托原项目</w:t>
            </w:r>
          </w:p>
        </w:tc>
        <w:tc>
          <w:tcPr>
            <w:tcW w:w="1019"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r>
              <w:rPr>
                <w:rFonts w:hint="eastAsia"/>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color w:val="auto"/>
                <w:sz w:val="21"/>
                <w:szCs w:val="21"/>
                <w:highlight w:val="none"/>
              </w:rPr>
              <w:t>公用工程</w:t>
            </w: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给水</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color w:val="auto"/>
                <w:sz w:val="21"/>
                <w:szCs w:val="21"/>
                <w:highlight w:val="none"/>
              </w:rPr>
              <w:t>项目由于由市政供水网供给</w:t>
            </w:r>
          </w:p>
        </w:tc>
        <w:tc>
          <w:tcPr>
            <w:tcW w:w="1019"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r>
              <w:rPr>
                <w:rFonts w:hint="eastAsia"/>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排水</w:t>
            </w:r>
          </w:p>
        </w:tc>
        <w:tc>
          <w:tcPr>
            <w:tcW w:w="2544" w:type="pct"/>
            <w:noWrap w:val="0"/>
            <w:vAlign w:val="center"/>
          </w:tcPr>
          <w:p>
            <w:pPr>
              <w:keepNext w:val="0"/>
              <w:keepLines w:val="0"/>
              <w:pageBreakBefore w:val="0"/>
              <w:kinsoku/>
              <w:wordWrap/>
              <w:overflowPunct/>
              <w:topLinePunct w:val="0"/>
              <w:autoSpaceDE/>
              <w:autoSpaceDN/>
              <w:bidi w:val="0"/>
              <w:snapToGrid w:val="0"/>
              <w:spacing w:line="240" w:lineRule="auto"/>
              <w:jc w:val="center"/>
              <w:rPr>
                <w:rFonts w:hint="eastAsia"/>
                <w:color w:val="auto"/>
                <w:kern w:val="0"/>
                <w:sz w:val="21"/>
                <w:szCs w:val="21"/>
                <w:highlight w:val="none"/>
              </w:rPr>
            </w:pPr>
            <w:r>
              <w:rPr>
                <w:rFonts w:hint="eastAsia"/>
                <w:color w:val="auto"/>
                <w:kern w:val="0"/>
                <w:sz w:val="21"/>
                <w:szCs w:val="21"/>
                <w:highlight w:val="none"/>
              </w:rPr>
              <w:t>依托原项目</w:t>
            </w:r>
          </w:p>
        </w:tc>
        <w:tc>
          <w:tcPr>
            <w:tcW w:w="1019" w:type="pct"/>
            <w:noWrap w:val="0"/>
            <w:vAlign w:val="center"/>
          </w:tcPr>
          <w:p>
            <w:pPr>
              <w:keepNext w:val="0"/>
              <w:keepLines w:val="0"/>
              <w:pageBreakBefore w:val="0"/>
              <w:kinsoku/>
              <w:wordWrap/>
              <w:overflowPunct/>
              <w:topLinePunct w:val="0"/>
              <w:autoSpaceDE/>
              <w:autoSpaceDN/>
              <w:bidi w:val="0"/>
              <w:snapToGrid w:val="0"/>
              <w:spacing w:line="240" w:lineRule="auto"/>
              <w:jc w:val="center"/>
              <w:rPr>
                <w:rFonts w:hint="eastAsia"/>
                <w:color w:val="auto"/>
                <w:kern w:val="0"/>
                <w:sz w:val="21"/>
                <w:szCs w:val="21"/>
                <w:highlight w:val="none"/>
              </w:rPr>
            </w:pPr>
            <w:r>
              <w:rPr>
                <w:rFonts w:hint="eastAsia"/>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供电</w:t>
            </w:r>
          </w:p>
        </w:tc>
        <w:tc>
          <w:tcPr>
            <w:tcW w:w="2544" w:type="pct"/>
            <w:noWrap w:val="0"/>
            <w:vAlign w:val="center"/>
          </w:tcPr>
          <w:p>
            <w:pPr>
              <w:keepNext w:val="0"/>
              <w:keepLines w:val="0"/>
              <w:pageBreakBefore w:val="0"/>
              <w:kinsoku/>
              <w:wordWrap/>
              <w:overflowPunct/>
              <w:topLinePunct w:val="0"/>
              <w:autoSpaceDE/>
              <w:autoSpaceDN/>
              <w:bidi w:val="0"/>
              <w:snapToGrid w:val="0"/>
              <w:spacing w:line="240" w:lineRule="auto"/>
              <w:jc w:val="center"/>
              <w:rPr>
                <w:color w:val="auto"/>
                <w:kern w:val="0"/>
                <w:sz w:val="21"/>
                <w:szCs w:val="21"/>
                <w:highlight w:val="none"/>
              </w:rPr>
            </w:pPr>
            <w:r>
              <w:rPr>
                <w:color w:val="auto"/>
                <w:kern w:val="0"/>
                <w:sz w:val="21"/>
                <w:szCs w:val="21"/>
                <w:highlight w:val="none"/>
              </w:rPr>
              <w:t>项目用电由当地供电网供给</w:t>
            </w:r>
          </w:p>
        </w:tc>
        <w:tc>
          <w:tcPr>
            <w:tcW w:w="1019" w:type="pct"/>
            <w:noWrap w:val="0"/>
            <w:vAlign w:val="center"/>
          </w:tcPr>
          <w:p>
            <w:pPr>
              <w:keepNext w:val="0"/>
              <w:keepLines w:val="0"/>
              <w:pageBreakBefore w:val="0"/>
              <w:kinsoku/>
              <w:wordWrap/>
              <w:overflowPunct/>
              <w:topLinePunct w:val="0"/>
              <w:autoSpaceDE/>
              <w:autoSpaceDN/>
              <w:bidi w:val="0"/>
              <w:snapToGrid w:val="0"/>
              <w:spacing w:line="240" w:lineRule="auto"/>
              <w:jc w:val="center"/>
              <w:rPr>
                <w:rFonts w:hint="eastAsia"/>
                <w:color w:val="auto"/>
                <w:kern w:val="0"/>
                <w:sz w:val="21"/>
                <w:szCs w:val="21"/>
                <w:highlight w:val="none"/>
              </w:rPr>
            </w:pPr>
            <w:r>
              <w:rPr>
                <w:rFonts w:hint="eastAsia"/>
                <w:color w:val="auto"/>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restar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color w:val="auto"/>
                <w:sz w:val="21"/>
                <w:szCs w:val="21"/>
                <w:highlight w:val="none"/>
              </w:rPr>
              <w:t>环保工程</w:t>
            </w: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废气</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color w:val="auto"/>
                <w:sz w:val="21"/>
                <w:szCs w:val="21"/>
                <w:highlight w:val="none"/>
              </w:rPr>
              <w:t>破损电池酸雾采用1套酸雾净化装置处理，经1根15米高排气筒（</w:t>
            </w:r>
            <w:r>
              <w:rPr>
                <w:rFonts w:hint="eastAsia"/>
                <w:color w:val="auto"/>
                <w:sz w:val="21"/>
                <w:szCs w:val="21"/>
                <w:highlight w:val="none"/>
              </w:rPr>
              <w:t>DA001</w:t>
            </w:r>
            <w:r>
              <w:rPr>
                <w:color w:val="auto"/>
                <w:sz w:val="21"/>
                <w:szCs w:val="21"/>
                <w:highlight w:val="none"/>
              </w:rPr>
              <w:t>）</w:t>
            </w:r>
          </w:p>
        </w:tc>
        <w:tc>
          <w:tcPr>
            <w:tcW w:w="1019"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color w:val="auto"/>
                <w:sz w:val="21"/>
                <w:szCs w:val="21"/>
                <w:highlight w:val="none"/>
              </w:rPr>
            </w:pPr>
            <w:r>
              <w:rPr>
                <w:rFonts w:hint="eastAsia"/>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废水</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eastAsia="宋体"/>
                <w:color w:val="auto"/>
                <w:sz w:val="21"/>
                <w:szCs w:val="21"/>
                <w:highlight w:val="none"/>
                <w:lang w:val="en-US" w:eastAsia="zh-CN"/>
              </w:rPr>
            </w:pPr>
            <w:r>
              <w:rPr>
                <w:rFonts w:hint="eastAsia"/>
                <w:color w:val="auto"/>
                <w:sz w:val="21"/>
                <w:szCs w:val="21"/>
                <w:highlight w:val="none"/>
                <w:lang w:val="en-US" w:eastAsia="zh-CN"/>
              </w:rPr>
              <w:t>项目生活污水</w:t>
            </w:r>
            <w:r>
              <w:rPr>
                <w:rFonts w:hint="eastAsia"/>
                <w:color w:val="auto"/>
                <w:sz w:val="21"/>
                <w:szCs w:val="21"/>
                <w:highlight w:val="none"/>
              </w:rPr>
              <w:t>依托原项目</w:t>
            </w:r>
            <w:r>
              <w:rPr>
                <w:rFonts w:hint="eastAsia"/>
                <w:color w:val="auto"/>
                <w:sz w:val="21"/>
                <w:szCs w:val="21"/>
                <w:highlight w:val="none"/>
                <w:lang w:val="en-US" w:eastAsia="zh-CN"/>
              </w:rPr>
              <w:t>污水处理装置处理达标后经管网排入</w:t>
            </w:r>
            <w:r>
              <w:rPr>
                <w:rFonts w:hint="eastAsia"/>
                <w:color w:val="auto"/>
                <w:sz w:val="21"/>
                <w:szCs w:val="21"/>
                <w:highlight w:val="none"/>
              </w:rPr>
              <w:t>临港工业园污水处理厂</w:t>
            </w:r>
          </w:p>
        </w:tc>
        <w:tc>
          <w:tcPr>
            <w:tcW w:w="1019"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eastAsia="宋体"/>
                <w:color w:val="auto"/>
                <w:sz w:val="21"/>
                <w:szCs w:val="21"/>
                <w:highlight w:val="none"/>
                <w:lang w:val="en-US" w:eastAsia="zh-CN"/>
              </w:rPr>
            </w:pPr>
            <w:r>
              <w:rPr>
                <w:rFonts w:hint="eastAsia"/>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vMerge w:val="restart"/>
            <w:noWrap w:val="0"/>
            <w:vAlign w:val="center"/>
          </w:tcPr>
          <w:p>
            <w:pPr>
              <w:keepNext w:val="0"/>
              <w:keepLines w:val="0"/>
              <w:pageBreakBefore w:val="0"/>
              <w:widowControl/>
              <w:suppressLineNumbers w:val="0"/>
              <w:kinsoku/>
              <w:wordWrap/>
              <w:overflowPunct/>
              <w:topLinePunct w:val="0"/>
              <w:autoSpaceDE/>
              <w:autoSpaceDN/>
              <w:bidi w:val="0"/>
              <w:snapToGrid w:val="0"/>
              <w:spacing w:line="240" w:lineRule="auto"/>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风险应急</w:t>
            </w: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color w:val="auto"/>
                <w:sz w:val="21"/>
                <w:szCs w:val="21"/>
                <w:highlight w:val="none"/>
              </w:rPr>
              <w:t>应急池1个，</w:t>
            </w:r>
            <w:r>
              <w:rPr>
                <w:rFonts w:hint="eastAsia"/>
                <w:color w:val="auto"/>
                <w:sz w:val="21"/>
                <w:szCs w:val="21"/>
                <w:highlight w:val="none"/>
              </w:rPr>
              <w:t>占地面积为1</w:t>
            </w:r>
            <w:r>
              <w:rPr>
                <w:color w:val="auto"/>
                <w:sz w:val="21"/>
                <w:szCs w:val="21"/>
                <w:highlight w:val="none"/>
              </w:rPr>
              <w:t>m</w:t>
            </w:r>
            <w:r>
              <w:rPr>
                <w:color w:val="auto"/>
                <w:sz w:val="21"/>
                <w:szCs w:val="21"/>
                <w:highlight w:val="none"/>
                <w:vertAlign w:val="superscript"/>
              </w:rPr>
              <w:t>2</w:t>
            </w:r>
            <w:r>
              <w:rPr>
                <w:rFonts w:hint="eastAsia"/>
                <w:color w:val="auto"/>
                <w:sz w:val="21"/>
                <w:szCs w:val="21"/>
                <w:highlight w:val="none"/>
              </w:rPr>
              <w:t>，深度为0.5m，</w:t>
            </w:r>
            <w:r>
              <w:rPr>
                <w:color w:val="auto"/>
                <w:sz w:val="21"/>
                <w:szCs w:val="21"/>
                <w:highlight w:val="none"/>
              </w:rPr>
              <w:t>容积</w:t>
            </w:r>
            <w:r>
              <w:rPr>
                <w:rFonts w:hint="eastAsia"/>
                <w:color w:val="auto"/>
                <w:sz w:val="21"/>
                <w:szCs w:val="21"/>
                <w:highlight w:val="none"/>
              </w:rPr>
              <w:t>为0.5</w:t>
            </w:r>
            <w:r>
              <w:rPr>
                <w:color w:val="auto"/>
                <w:sz w:val="21"/>
                <w:szCs w:val="21"/>
                <w:highlight w:val="none"/>
              </w:rPr>
              <w:t>m</w:t>
            </w:r>
            <w:r>
              <w:rPr>
                <w:color w:val="auto"/>
                <w:sz w:val="21"/>
                <w:szCs w:val="21"/>
                <w:highlight w:val="none"/>
                <w:vertAlign w:val="superscript"/>
              </w:rPr>
              <w:t>3</w:t>
            </w:r>
            <w:r>
              <w:rPr>
                <w:color w:val="auto"/>
                <w:sz w:val="21"/>
                <w:szCs w:val="21"/>
                <w:highlight w:val="none"/>
              </w:rPr>
              <w:t>；用于暂存事故废液</w:t>
            </w:r>
          </w:p>
        </w:tc>
        <w:tc>
          <w:tcPr>
            <w:tcW w:w="1019"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eastAsia="宋体"/>
                <w:color w:val="auto"/>
                <w:sz w:val="21"/>
                <w:szCs w:val="21"/>
                <w:highlight w:val="none"/>
                <w:lang w:val="en-US" w:eastAsia="zh-CN"/>
              </w:rPr>
            </w:pPr>
            <w:r>
              <w:rPr>
                <w:rFonts w:hint="eastAsia"/>
                <w:color w:val="auto"/>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605" w:type="pct"/>
            <w:vMerge w:val="continue"/>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p>
        </w:tc>
        <w:tc>
          <w:tcPr>
            <w:tcW w:w="830" w:type="pct"/>
            <w:vMerge w:val="continue"/>
            <w:noWrap w:val="0"/>
            <w:vAlign w:val="center"/>
          </w:tcPr>
          <w:p>
            <w:pPr>
              <w:keepNext w:val="0"/>
              <w:keepLines w:val="0"/>
              <w:pageBreakBefore w:val="0"/>
              <w:widowControl/>
              <w:kinsoku/>
              <w:wordWrap/>
              <w:overflowPunct/>
              <w:topLinePunct w:val="0"/>
              <w:autoSpaceDE/>
              <w:autoSpaceDN/>
              <w:bidi w:val="0"/>
              <w:snapToGrid w:val="0"/>
              <w:spacing w:line="240" w:lineRule="auto"/>
              <w:jc w:val="center"/>
              <w:rPr>
                <w:color w:val="auto"/>
                <w:kern w:val="0"/>
                <w:sz w:val="21"/>
                <w:szCs w:val="21"/>
                <w:highlight w:val="none"/>
              </w:rPr>
            </w:pPr>
          </w:p>
        </w:tc>
        <w:tc>
          <w:tcPr>
            <w:tcW w:w="2544"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color w:val="auto"/>
                <w:sz w:val="21"/>
                <w:szCs w:val="21"/>
                <w:highlight w:val="none"/>
              </w:rPr>
            </w:pPr>
            <w:r>
              <w:rPr>
                <w:rFonts w:hint="eastAsia"/>
                <w:color w:val="auto"/>
                <w:sz w:val="21"/>
                <w:szCs w:val="21"/>
                <w:highlight w:val="none"/>
              </w:rPr>
              <w:t>消防沙池1个，尺寸为0.9m*1.5m*0.5m，占地面积为1.35m</w:t>
            </w:r>
            <w:r>
              <w:rPr>
                <w:rFonts w:hint="eastAsia"/>
                <w:color w:val="auto"/>
                <w:sz w:val="21"/>
                <w:szCs w:val="21"/>
                <w:highlight w:val="none"/>
                <w:vertAlign w:val="superscript"/>
              </w:rPr>
              <w:t>2</w:t>
            </w:r>
            <w:r>
              <w:rPr>
                <w:rFonts w:hint="eastAsia"/>
                <w:color w:val="auto"/>
                <w:sz w:val="21"/>
                <w:szCs w:val="21"/>
                <w:highlight w:val="none"/>
              </w:rPr>
              <w:t>，总容积为0.675m</w:t>
            </w:r>
            <w:r>
              <w:rPr>
                <w:rFonts w:hint="eastAsia"/>
                <w:color w:val="auto"/>
                <w:sz w:val="21"/>
                <w:szCs w:val="21"/>
                <w:highlight w:val="none"/>
                <w:vertAlign w:val="superscript"/>
              </w:rPr>
              <w:t>3</w:t>
            </w:r>
            <w:r>
              <w:rPr>
                <w:rFonts w:hint="eastAsia"/>
                <w:color w:val="auto"/>
                <w:sz w:val="21"/>
                <w:szCs w:val="21"/>
                <w:highlight w:val="none"/>
              </w:rPr>
              <w:t>；用于消防灭火。</w:t>
            </w:r>
          </w:p>
        </w:tc>
        <w:tc>
          <w:tcPr>
            <w:tcW w:w="1019" w:type="pct"/>
            <w:noWrap w:val="0"/>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eastAsia" w:eastAsia="宋体"/>
                <w:color w:val="auto"/>
                <w:sz w:val="21"/>
                <w:szCs w:val="21"/>
                <w:highlight w:val="none"/>
                <w:lang w:val="en-US" w:eastAsia="zh-CN"/>
              </w:rPr>
            </w:pPr>
            <w:r>
              <w:rPr>
                <w:rFonts w:hint="eastAsia"/>
                <w:color w:val="auto"/>
                <w:sz w:val="21"/>
                <w:szCs w:val="21"/>
                <w:highlight w:val="none"/>
                <w:lang w:val="en-US" w:eastAsia="zh-CN"/>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的评价结论及湛江市生态环境技术中心《关于</w:t>
      </w:r>
      <w:r>
        <w:rPr>
          <w:rFonts w:hint="eastAsia" w:ascii="仿宋_GB2312" w:hAnsi="仿宋_GB2312" w:eastAsia="仿宋_GB2312" w:cs="仿宋_GB2312"/>
          <w:sz w:val="32"/>
          <w:szCs w:val="32"/>
          <w:lang w:eastAsia="zh-CN"/>
        </w:rPr>
        <w:t>废旧电池回收储存建设项目</w:t>
      </w:r>
      <w:r>
        <w:rPr>
          <w:rFonts w:hint="eastAsia" w:ascii="仿宋_GB2312" w:hAnsi="仿宋_GB2312" w:eastAsia="仿宋_GB2312" w:cs="仿宋_GB2312"/>
          <w:sz w:val="32"/>
          <w:szCs w:val="32"/>
        </w:rPr>
        <w:t>环境影响报告表的评估意见》（湛环技评表〔202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83</w:t>
      </w:r>
      <w:r>
        <w:rPr>
          <w:rFonts w:hint="eastAsia" w:ascii="仿宋_GB2312" w:hAnsi="仿宋_GB2312" w:eastAsia="仿宋_GB2312" w:cs="仿宋_GB2312"/>
          <w:sz w:val="32"/>
          <w:szCs w:val="32"/>
        </w:rPr>
        <w:t>号），在全面落实</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中提出的各项污染防治和风险防范措施，并确保污染物排放稳定达标且符合总量要求的前提下，项目按照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中所列性质、规模、地点和拟采取的环境保护措施进行建设，从环境保护角度可行。我局原则通过对</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的审查，你公司应按照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内容组织实施。</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、项目建设和运营中还应重点做好以下工作：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该扩建项目须加强环保管理和“三废”污染防治设施维护，严格按照环评的要求落实各项污染防治措施风险防范和应急处置措施，确保项目固废得到有效处置，各类污染物稳定达标排放，防止危险废物泄漏、火灾或爆炸等事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该扩建项目须加强危险废物的管理。1.严格按照《危险废物贮存污染控制标准》（GB18597-2001及其2013年修订）中的相关规定设计建设危险废物暂存间，满足防雨、防渗、防风、防晒、防漏等要求；2.危险废物须交由有资质的单位进行安全处置；3.建立危险废物管理台账，如实记录产生固体废物的种类、数量、利用、贮存、处置、流向等信息，存档备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（三）该扩建项目废铅酸蓄电池</w:t>
      </w:r>
      <w:r>
        <w:rPr>
          <w:rFonts w:hint="default" w:ascii="仿宋_GB2312" w:hAnsi="仿宋_GB2312" w:eastAsia="仿宋_GB2312" w:cs="仿宋_GB2312"/>
          <w:sz w:val="32"/>
          <w:szCs w:val="32"/>
          <w:lang w:val="en-US" w:eastAsia="zh-CN"/>
        </w:rPr>
        <w:t>破损贮存区室内微负压抽气，硫酸雾废气引至1套酸雾吸收塔处理后，经1根15m排气筒DA001有组织排放</w:t>
      </w:r>
      <w:r>
        <w:rPr>
          <w:rFonts w:hint="eastAsia" w:ascii="仿宋_GB2312" w:hAnsi="仿宋_GB2312" w:eastAsia="仿宋_GB2312" w:cs="仿宋_GB2312"/>
          <w:sz w:val="32"/>
          <w:szCs w:val="32"/>
          <w:lang w:val="en-US" w:eastAsia="zh-CN"/>
        </w:rPr>
        <w:t>，硫酸雾执行广东省地方标准《大气污染物排放限值》(DB44/27-2001)中硫酸雾第二时段二级标准和厂界无组织排放标准；</w:t>
      </w:r>
      <w:r>
        <w:rPr>
          <w:rFonts w:hint="eastAsia" w:ascii="仿宋_GB2312" w:hAnsi="仿宋_GB2312" w:eastAsia="仿宋_GB2312" w:cs="仿宋_GB2312"/>
          <w:sz w:val="32"/>
          <w:szCs w:val="32"/>
          <w:lang w:val="en-GB" w:eastAsia="zh-CN"/>
        </w:rPr>
        <w:t>喷淋废液依托原项目污水处理装置进行预处理，即经收集送至原项目污水处理装置处理；生活污水依托原项目污水处理装置进行预处理，即经收集送至原项目污水处理装置处理；原项目污水处理装置将污水处理达到广东省地方标准《水污染物排放限值》（DB44/26-2001）第二时段三级标准及临港工业园污水处理厂纳污标准的较严值后，通过管网排入临港工业园污水处理厂进行深度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sz w:val="32"/>
          <w:szCs w:val="32"/>
          <w:lang w:val="en-US" w:eastAsia="zh-CN"/>
        </w:rPr>
        <w:t>（四）该项目厂界噪声执行《工业企业厂界环境噪声排放</w:t>
      </w:r>
      <w:r>
        <w:rPr>
          <w:rFonts w:hint="eastAsia" w:ascii="仿宋_GB2312" w:hAnsi="仿宋_GB2312" w:eastAsia="仿宋_GB2312" w:cs="仿宋_GB2312"/>
          <w:color w:val="auto"/>
          <w:kern w:val="2"/>
          <w:sz w:val="32"/>
          <w:szCs w:val="32"/>
          <w:lang w:val="en-US" w:eastAsia="zh-CN" w:bidi="ar-SA"/>
        </w:rPr>
        <w:t>标准》（GB12348-2008）中的3类功能区标准要求。</w:t>
      </w:r>
    </w:p>
    <w:p>
      <w:pPr>
        <w:keepNext w:val="0"/>
        <w:keepLines w:val="0"/>
        <w:pageBreakBefore w:val="0"/>
        <w:widowControl w:val="0"/>
        <w:kinsoku/>
        <w:wordWrap/>
        <w:overflowPunct/>
        <w:topLinePunct w:val="0"/>
        <w:autoSpaceDE/>
        <w:autoSpaceDN/>
        <w:bidi w:val="0"/>
        <w:adjustRightInd/>
        <w:snapToGrid/>
        <w:spacing w:line="580" w:lineRule="exact"/>
        <w:ind w:firstLine="566" w:firstLineChars="177"/>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四、若项目的性质、规模、地点、工艺或者防治污染的措施</w:t>
      </w:r>
      <w:r>
        <w:rPr>
          <w:rFonts w:hint="eastAsia" w:ascii="仿宋_GB2312" w:hAnsi="仿宋_GB2312" w:eastAsia="仿宋_GB2312" w:cs="仿宋_GB2312"/>
          <w:sz w:val="32"/>
          <w:szCs w:val="32"/>
        </w:rPr>
        <w:t>发生重大变动，应重新报批项目的环境影响评价文件。</w:t>
      </w:r>
    </w:p>
    <w:p>
      <w:pPr>
        <w:keepNext w:val="0"/>
        <w:keepLines w:val="0"/>
        <w:pageBreakBefore w:val="0"/>
        <w:widowControl w:val="0"/>
        <w:kinsoku/>
        <w:wordWrap/>
        <w:overflowPunct/>
        <w:topLinePunct w:val="0"/>
        <w:bidi w:val="0"/>
        <w:adjustRightInd/>
        <w:snapToGrid/>
        <w:spacing w:line="580" w:lineRule="exact"/>
        <w:textAlignment w:val="auto"/>
        <w:rPr>
          <w:rFonts w:hint="eastAsia" w:ascii="仿宋_GB2312" w:hAnsi="仿宋_GB2312" w:eastAsia="仿宋_GB2312" w:cs="仿宋_GB2312"/>
        </w:rPr>
      </w:pPr>
    </w:p>
    <w:p>
      <w:pPr>
        <w:pStyle w:val="2"/>
        <w:keepNext w:val="0"/>
        <w:keepLines w:val="0"/>
        <w:pageBreakBefore w:val="0"/>
        <w:kinsoku/>
        <w:wordWrap/>
        <w:overflowPunct/>
        <w:topLinePunct w:val="0"/>
        <w:bidi w:val="0"/>
        <w:snapToGrid/>
        <w:spacing w:line="580" w:lineRule="exact"/>
        <w:textAlignment w:val="auto"/>
        <w:rPr>
          <w:rFonts w:hint="eastAsia" w:ascii="仿宋_GB2312" w:hAnsi="仿宋_GB2312" w:eastAsia="仿宋_GB2312" w:cs="仿宋_GB2312"/>
        </w:rPr>
      </w:pPr>
    </w:p>
    <w:p>
      <w:pPr>
        <w:pStyle w:val="23"/>
        <w:rPr>
          <w:rFonts w:hint="eastAsia"/>
        </w:rPr>
      </w:pPr>
    </w:p>
    <w:p>
      <w:pPr>
        <w:pStyle w:val="16"/>
        <w:keepNext w:val="0"/>
        <w:keepLines w:val="0"/>
        <w:pageBreakBefore w:val="0"/>
        <w:widowControl w:val="0"/>
        <w:kinsoku/>
        <w:wordWrap/>
        <w:overflowPunct/>
        <w:topLinePunct w:val="0"/>
        <w:autoSpaceDE/>
        <w:autoSpaceDN/>
        <w:bidi w:val="0"/>
        <w:adjustRightInd/>
        <w:snapToGrid/>
        <w:spacing w:line="580" w:lineRule="exact"/>
        <w:ind w:left="0" w:leftChars="0" w:right="629" w:rightChars="0" w:firstLine="0" w:firstLineChars="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adjustRightInd/>
        <w:snapToGrid/>
        <w:spacing w:line="580" w:lineRule="exact"/>
        <w:ind w:left="4469" w:leftChars="2128"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2022年11月</w:t>
      </w:r>
      <w:bookmarkStart w:id="1" w:name="_GoBack"/>
      <w:bookmarkEnd w:id="1"/>
      <w:r>
        <w:rPr>
          <w:rFonts w:hint="eastAsia" w:ascii="仿宋_GB2312" w:hAnsi="仿宋_GB2312" w:eastAsia="仿宋_GB2312" w:cs="仿宋_GB2312"/>
          <w:sz w:val="32"/>
          <w:szCs w:val="32"/>
          <w:lang w:val="en-US" w:eastAsia="zh-CN"/>
        </w:rPr>
        <w:t>8日</w:t>
      </w:r>
    </w:p>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7"/>
                      <w:rPr>
                        <w:sz w:val="24"/>
                        <w:szCs w:val="24"/>
                      </w:rPr>
                    </w:pP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53D3B7"/>
    <w:multiLevelType w:val="singleLevel"/>
    <w:tmpl w:val="B553D3B7"/>
    <w:lvl w:ilvl="0" w:tentative="0">
      <w:start w:val="1"/>
      <w:numFmt w:val="bullet"/>
      <w:pStyle w:val="10"/>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2AA23A96"/>
    <w:rsid w:val="148F527B"/>
    <w:rsid w:val="20464FB6"/>
    <w:rsid w:val="2AA23A96"/>
    <w:rsid w:val="387B0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9"/>
    <w:pPr>
      <w:keepNext/>
      <w:ind w:firstLine="510"/>
      <w:jc w:val="center"/>
      <w:outlineLvl w:val="0"/>
    </w:pPr>
    <w:rPr>
      <w:sz w:val="28"/>
      <w:szCs w:val="20"/>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纯文本1"/>
    <w:basedOn w:val="1"/>
    <w:qFormat/>
    <w:uiPriority w:val="0"/>
    <w:pPr>
      <w:adjustRightInd w:val="0"/>
      <w:spacing w:line="240" w:lineRule="auto"/>
      <w:ind w:firstLine="723" w:firstLineChars="200"/>
      <w:textAlignment w:val="baseline"/>
    </w:pPr>
    <w:rPr>
      <w:rFonts w:hAnsi="Courier New"/>
      <w:sz w:val="21"/>
    </w:rPr>
  </w:style>
  <w:style w:type="paragraph" w:styleId="5">
    <w:name w:val="E-mail Signature"/>
    <w:basedOn w:val="1"/>
    <w:next w:val="6"/>
    <w:qFormat/>
    <w:uiPriority w:val="0"/>
    <w:pPr>
      <w:spacing w:line="460" w:lineRule="exact"/>
      <w:ind w:firstLine="200"/>
    </w:pPr>
    <w:rPr>
      <w:rFonts w:ascii="Times New Roman" w:hAnsi="Times New Roman" w:eastAsia="宋体" w:cs="Times New Roman"/>
    </w:rPr>
  </w:style>
  <w:style w:type="paragraph" w:customStyle="1" w:styleId="6">
    <w:name w:val="文章"/>
    <w:basedOn w:val="7"/>
    <w:next w:val="9"/>
    <w:qFormat/>
    <w:uiPriority w:val="0"/>
    <w:pPr>
      <w:widowControl/>
      <w:spacing w:line="240" w:lineRule="auto"/>
      <w:ind w:firstLine="480"/>
      <w:jc w:val="center"/>
    </w:pPr>
    <w:rPr>
      <w:rFonts w:ascii="Times New Roman" w:hAnsi="Times New Roman" w:eastAsia="宋体" w:cs="Times New Roman"/>
      <w:sz w:val="26"/>
    </w:rPr>
  </w:style>
  <w:style w:type="paragraph" w:styleId="7">
    <w:name w:val="Body Text Indent"/>
    <w:basedOn w:val="1"/>
    <w:next w:val="8"/>
    <w:qFormat/>
    <w:uiPriority w:val="0"/>
    <w:pPr>
      <w:ind w:left="720"/>
    </w:pPr>
    <w:rPr>
      <w:sz w:val="28"/>
    </w:rPr>
  </w:style>
  <w:style w:type="paragraph" w:customStyle="1" w:styleId="8">
    <w:name w:val="样式 标题 1一级标题 + 段前: 0.5 行 段后: 0.5 行"/>
    <w:basedOn w:val="4"/>
    <w:qFormat/>
    <w:uiPriority w:val="99"/>
    <w:pPr>
      <w:spacing w:line="320" w:lineRule="exact"/>
      <w:outlineLvl w:val="9"/>
    </w:pPr>
    <w:rPr>
      <w:spacing w:val="-6"/>
      <w:sz w:val="21"/>
      <w:szCs w:val="21"/>
    </w:rPr>
  </w:style>
  <w:style w:type="paragraph" w:styleId="9">
    <w:name w:val="List"/>
    <w:basedOn w:val="1"/>
    <w:next w:val="10"/>
    <w:unhideWhenUsed/>
    <w:qFormat/>
    <w:uiPriority w:val="0"/>
    <w:pPr>
      <w:jc w:val="center"/>
    </w:pPr>
    <w:rPr>
      <w:sz w:val="24"/>
      <w:szCs w:val="28"/>
    </w:rPr>
  </w:style>
  <w:style w:type="paragraph" w:styleId="10">
    <w:name w:val="List Bullet 2"/>
    <w:basedOn w:val="1"/>
    <w:next w:val="11"/>
    <w:qFormat/>
    <w:uiPriority w:val="0"/>
    <w:pPr>
      <w:numPr>
        <w:ilvl w:val="0"/>
        <w:numId w:val="1"/>
      </w:numPr>
    </w:pPr>
  </w:style>
  <w:style w:type="paragraph" w:customStyle="1" w:styleId="11">
    <w:name w:val="xl70"/>
    <w:basedOn w:val="1"/>
    <w:next w:val="12"/>
    <w:qFormat/>
    <w:uiPriority w:val="0"/>
    <w:pPr>
      <w:widowControl/>
      <w:spacing w:before="280" w:after="280" w:line="240" w:lineRule="auto"/>
      <w:ind w:firstLine="0"/>
    </w:pPr>
    <w:rPr>
      <w:rFonts w:ascii="宋体" w:hAnsi="Times New Roman" w:eastAsia="宋体" w:cs="Times New Roman"/>
    </w:rPr>
  </w:style>
  <w:style w:type="paragraph" w:customStyle="1" w:styleId="12">
    <w:name w:val="正文缩进1"/>
    <w:basedOn w:val="1"/>
    <w:next w:val="13"/>
    <w:qFormat/>
    <w:uiPriority w:val="0"/>
    <w:pPr>
      <w:ind w:firstLine="420" w:firstLineChars="200"/>
    </w:pPr>
    <w:rPr>
      <w:rFonts w:ascii="Times New Roman" w:hAnsi="Times New Roman" w:eastAsia="宋体" w:cs="Times New Roman"/>
      <w:sz w:val="24"/>
      <w:szCs w:val="24"/>
    </w:rPr>
  </w:style>
  <w:style w:type="paragraph" w:customStyle="1" w:styleId="13">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4">
    <w:name w:val="caption"/>
    <w:basedOn w:val="1"/>
    <w:next w:val="1"/>
    <w:qFormat/>
    <w:uiPriority w:val="0"/>
    <w:rPr>
      <w:rFonts w:ascii="Calibri Light" w:hAnsi="Calibri Light" w:eastAsia="黑体" w:cs="Times New Roman"/>
      <w:sz w:val="20"/>
    </w:rPr>
  </w:style>
  <w:style w:type="paragraph" w:styleId="15">
    <w:name w:val="annotation text"/>
    <w:basedOn w:val="1"/>
    <w:qFormat/>
    <w:uiPriority w:val="0"/>
    <w:pPr>
      <w:jc w:val="left"/>
    </w:pPr>
    <w:rPr>
      <w:kern w:val="0"/>
      <w:sz w:val="20"/>
    </w:rPr>
  </w:style>
  <w:style w:type="paragraph" w:styleId="16">
    <w:name w:val="Body Text"/>
    <w:basedOn w:val="1"/>
    <w:qFormat/>
    <w:uiPriority w:val="0"/>
    <w:pPr>
      <w:spacing w:line="0" w:lineRule="atLeast"/>
    </w:pPr>
    <w:rPr>
      <w:rFonts w:eastAsia="小标宋"/>
      <w:sz w:val="44"/>
    </w:rPr>
  </w:style>
  <w:style w:type="paragraph" w:styleId="17">
    <w:name w:val="footer"/>
    <w:basedOn w:val="1"/>
    <w:semiHidden/>
    <w:unhideWhenUsed/>
    <w:qFormat/>
    <w:uiPriority w:val="99"/>
    <w:pPr>
      <w:tabs>
        <w:tab w:val="center" w:pos="4153"/>
        <w:tab w:val="right" w:pos="8306"/>
      </w:tabs>
      <w:snapToGrid w:val="0"/>
      <w:jc w:val="left"/>
    </w:pPr>
    <w:rPr>
      <w:sz w:val="18"/>
    </w:rPr>
  </w:style>
  <w:style w:type="paragraph" w:styleId="18">
    <w:name w:val="toc 2"/>
    <w:basedOn w:val="1"/>
    <w:next w:val="5"/>
    <w:qFormat/>
    <w:uiPriority w:val="0"/>
    <w:pPr>
      <w:ind w:left="210"/>
      <w:jc w:val="left"/>
    </w:pPr>
    <w:rPr>
      <w:rFonts w:ascii="Calibri" w:hAnsi="Calibri" w:eastAsia="宋体" w:cs="Calibri"/>
      <w:smallCaps/>
      <w:sz w:val="20"/>
    </w:rPr>
  </w:style>
  <w:style w:type="table" w:styleId="20">
    <w:name w:val="Table Grid"/>
    <w:basedOn w:val="1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22">
    <w:name w:val="文本"/>
    <w:basedOn w:val="1"/>
    <w:next w:val="1"/>
    <w:qFormat/>
    <w:uiPriority w:val="0"/>
    <w:pPr>
      <w:autoSpaceDE w:val="0"/>
      <w:autoSpaceDN w:val="0"/>
      <w:ind w:firstLine="480"/>
    </w:pPr>
    <w:rPr>
      <w:lang w:val="zh-CN"/>
    </w:rPr>
  </w:style>
  <w:style w:type="paragraph" w:customStyle="1" w:styleId="23">
    <w:name w:val="样式35"/>
    <w:basedOn w:val="24"/>
    <w:next w:val="25"/>
    <w:qFormat/>
    <w:uiPriority w:val="0"/>
    <w:pPr>
      <w:tabs>
        <w:tab w:val="left" w:pos="0"/>
        <w:tab w:val="left" w:pos="360"/>
        <w:tab w:val="left" w:pos="540"/>
        <w:tab w:val="left" w:pos="567"/>
      </w:tabs>
      <w:spacing w:line="312" w:lineRule="auto"/>
      <w:ind w:firstLine="567"/>
    </w:pPr>
    <w:rPr>
      <w:rFonts w:ascii="宋体" w:hAnsi="Times New Roman" w:eastAsia="宋体" w:cs="Times New Roman"/>
      <w:sz w:val="28"/>
    </w:rPr>
  </w:style>
  <w:style w:type="paragraph" w:customStyle="1" w:styleId="24">
    <w:name w:val="表 内容"/>
    <w:basedOn w:val="1"/>
    <w:qFormat/>
    <w:uiPriority w:val="0"/>
    <w:pPr>
      <w:adjustRightInd w:val="0"/>
      <w:snapToGrid w:val="0"/>
      <w:spacing w:beforeLines="15" w:afterLines="15"/>
      <w:jc w:val="center"/>
    </w:pPr>
    <w:rPr>
      <w:sz w:val="21"/>
      <w:szCs w:val="21"/>
    </w:rPr>
  </w:style>
  <w:style w:type="paragraph" w:customStyle="1" w:styleId="25">
    <w:name w:val="font6"/>
    <w:basedOn w:val="1"/>
    <w:next w:val="18"/>
    <w:qFormat/>
    <w:uiPriority w:val="0"/>
    <w:pPr>
      <w:widowControl/>
      <w:spacing w:before="280" w:after="280" w:line="240" w:lineRule="auto"/>
      <w:ind w:firstLine="0"/>
    </w:pPr>
    <w:rPr>
      <w:rFonts w:ascii="Times New Roman" w:hAnsi="Times New Roman" w:eastAsia="宋体" w:cs="Times New Roman"/>
      <w:sz w:val="21"/>
    </w:rPr>
  </w:style>
  <w:style w:type="paragraph" w:customStyle="1" w:styleId="26">
    <w:name w:val="表内"/>
    <w:qFormat/>
    <w:uiPriority w:val="0"/>
    <w:pPr>
      <w:adjustRightInd w:val="0"/>
      <w:snapToGrid w:val="0"/>
      <w:ind w:left="-105" w:leftChars="-50" w:rightChars="-50"/>
      <w:jc w:val="center"/>
    </w:pPr>
    <w:rPr>
      <w:rFonts w:ascii="Times New Roman" w:hAnsi="Times New Roman" w:eastAsia="宋体" w:cs="Times New Roman"/>
      <w:sz w:val="21"/>
      <w:lang w:val="en-US" w:eastAsia="zh-CN" w:bidi="ar-SA"/>
    </w:rPr>
  </w:style>
  <w:style w:type="paragraph" w:styleId="27">
    <w:name w:val="No Spacing"/>
    <w:qFormat/>
    <w:uiPriority w:val="0"/>
    <w:pPr>
      <w:adjustRightInd w:val="0"/>
      <w:snapToGrid w:val="0"/>
    </w:pPr>
    <w:rPr>
      <w:rFonts w:ascii="Tahoma" w:hAnsi="Tahoma"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1268</Words>
  <Characters>1411</Characters>
  <Lines>0</Lines>
  <Paragraphs>0</Paragraphs>
  <TotalTime>1</TotalTime>
  <ScaleCrop>false</ScaleCrop>
  <LinksUpToDate>false</LinksUpToDate>
  <CharactersWithSpaces>1439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2022-09-27T08:32:00Z</dcterms:created>
  <dc:creator>sghnc</dc:creator>
  <cp:lastModifiedBy>孙不鸦</cp:lastModifiedBy>
  <cp:lastPrinted>2022-09-27T08:48:00Z</cp:lastPrinted>
  <dcterms:modified xsi:type="dcterms:W3CDTF">2022-11-07T02:41:23Z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FC2EE8D014D84BABB486D7149C3FAC23</vt:lpwstr>
  </property>
</Properties>
</file>