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23</w:t>
      </w:r>
      <w:r>
        <w:rPr>
          <w:rFonts w:hint="eastAsia" w:ascii="仿宋_GB2312" w:eastAsia="仿宋_GB2312"/>
          <w:sz w:val="32"/>
          <w:szCs w:val="32"/>
        </w:rPr>
        <w:t>号</w:t>
      </w:r>
    </w:p>
    <w:p>
      <w:pPr>
        <w:pStyle w:val="10"/>
        <w:wordWrap/>
        <w:rPr>
          <w:rFonts w:hint="eastAsia"/>
          <w:sz w:val="15"/>
          <w:szCs w:val="15"/>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关于广湛高铁湛江北站一体化工程环境</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小标宋" w:eastAsia="小标宋"/>
          <w:sz w:val="44"/>
          <w:szCs w:val="44"/>
        </w:rPr>
      </w:pPr>
      <w:r>
        <w:rPr>
          <w:rFonts w:hint="eastAsia" w:ascii="方正小标宋简体" w:hAnsi="方正小标宋简体" w:eastAsia="方正小标宋简体" w:cs="方正小标宋简体"/>
          <w:sz w:val="44"/>
          <w:szCs w:val="44"/>
        </w:rPr>
        <w:t>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湛江市城市发展集团有限公司</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你</w:t>
      </w:r>
      <w:r>
        <w:rPr>
          <w:rFonts w:hint="eastAsia" w:ascii="仿宋_GB2312" w:hAnsi="仿宋_GB2312" w:eastAsia="仿宋_GB2312" w:cs="仿宋_GB2312"/>
          <w:sz w:val="32"/>
          <w:szCs w:val="32"/>
          <w:lang w:val="en-US" w:eastAsia="zh-CN"/>
        </w:rPr>
        <w:t>公司报批的《广湛高铁湛江北站一体化工程环境影响报告表》（以下简称“报告表”）等材料收悉。经研究，批复如</w:t>
      </w:r>
      <w:r>
        <w:rPr>
          <w:rFonts w:hint="eastAsia" w:ascii="仿宋_GB2312" w:hAnsi="仿宋_GB2312" w:eastAsia="仿宋_GB2312" w:cs="仿宋_GB2312"/>
          <w:sz w:val="32"/>
          <w:szCs w:val="32"/>
        </w:rPr>
        <w:t>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项目位于湛江市霞山区海头街道</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从完善站场红线内、站场红线外基础设施配套两方面进行，包括湛江北站升级改造工程（</w:t>
      </w:r>
      <w:r>
        <w:rPr>
          <w:rFonts w:hint="default" w:ascii="仿宋_GB2312" w:hAnsi="仿宋_GB2312" w:eastAsia="仿宋_GB2312" w:cs="仿宋_GB2312"/>
          <w:sz w:val="32"/>
          <w:szCs w:val="32"/>
          <w:lang w:val="en-US" w:eastAsia="zh-CN"/>
        </w:rPr>
        <w:t>站场红线内）、站场红线外配套</w:t>
      </w:r>
      <w:r>
        <w:rPr>
          <w:rFonts w:hint="default" w:ascii="仿宋_GB2312" w:hAnsi="仿宋_GB2312" w:eastAsia="仿宋_GB2312" w:cs="仿宋_GB2312"/>
          <w:sz w:val="32"/>
          <w:szCs w:val="32"/>
        </w:rPr>
        <w:t>工程共计2个子项</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工程总投资32.77亿元</w:t>
      </w:r>
      <w:r>
        <w:rPr>
          <w:rFonts w:hint="default"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其中，站场红线内由广东省铁路建设投资集团有限公司负责建设，其建设内容已纳入《新建广州至湛江铁路环境影响报告书》做评价</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本项目为</w:t>
      </w:r>
      <w:r>
        <w:rPr>
          <w:rFonts w:hint="default" w:ascii="仿宋_GB2312" w:hAnsi="仿宋_GB2312" w:eastAsia="仿宋_GB2312" w:cs="仿宋_GB2312"/>
          <w:sz w:val="32"/>
          <w:szCs w:val="32"/>
        </w:rPr>
        <w:t>站场红线外配套工程</w:t>
      </w:r>
      <w:r>
        <w:rPr>
          <w:rFonts w:hint="default"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主要建设内容包括</w:t>
      </w:r>
      <w:r>
        <w:rPr>
          <w:rFonts w:hint="default" w:ascii="仿宋_GB2312" w:hAnsi="仿宋_GB2312" w:eastAsia="仿宋_GB2312" w:cs="仿宋_GB2312"/>
          <w:sz w:val="32"/>
          <w:szCs w:val="32"/>
        </w:rPr>
        <w:t>站场</w:t>
      </w:r>
      <w:r>
        <w:rPr>
          <w:rFonts w:hint="default" w:ascii="仿宋_GB2312" w:hAnsi="仿宋_GB2312" w:eastAsia="仿宋_GB2312" w:cs="仿宋_GB2312"/>
          <w:sz w:val="32"/>
          <w:szCs w:val="32"/>
          <w:lang w:val="en-US" w:eastAsia="zh-CN"/>
        </w:rPr>
        <w:t>红线外</w:t>
      </w:r>
      <w:r>
        <w:rPr>
          <w:rFonts w:hint="default" w:ascii="仿宋_GB2312" w:hAnsi="仿宋_GB2312" w:eastAsia="仿宋_GB2312" w:cs="仿宋_GB2312"/>
          <w:sz w:val="32"/>
          <w:szCs w:val="32"/>
        </w:rPr>
        <w:t>道路建设工程</w:t>
      </w:r>
      <w:r>
        <w:rPr>
          <w:rFonts w:hint="default" w:ascii="仿宋_GB2312" w:hAnsi="仿宋_GB2312" w:eastAsia="仿宋_GB2312" w:cs="仿宋_GB2312"/>
          <w:sz w:val="32"/>
          <w:szCs w:val="32"/>
          <w:lang w:val="en-US" w:eastAsia="zh-CN"/>
        </w:rPr>
        <w:t>和</w:t>
      </w:r>
      <w:r>
        <w:rPr>
          <w:rFonts w:hint="default" w:ascii="仿宋_GB2312" w:hAnsi="仿宋_GB2312" w:eastAsia="仿宋_GB2312" w:cs="仿宋_GB2312"/>
          <w:sz w:val="32"/>
          <w:szCs w:val="32"/>
          <w:lang w:eastAsia="zh-CN"/>
        </w:rPr>
        <w:t>改造建设公共服务中心</w:t>
      </w:r>
      <w:r>
        <w:rPr>
          <w:rFonts w:hint="default" w:ascii="仿宋_GB2312" w:hAnsi="仿宋_GB2312" w:eastAsia="仿宋_GB2312" w:cs="仿宋_GB2312"/>
          <w:sz w:val="32"/>
          <w:szCs w:val="32"/>
          <w:lang w:val="en-US" w:eastAsia="zh-CN"/>
        </w:rPr>
        <w:t>工程</w:t>
      </w:r>
      <w:r>
        <w:rPr>
          <w:rFonts w:hint="eastAsia" w:ascii="仿宋_GB2312" w:hAnsi="仿宋_GB2312" w:eastAsia="仿宋_GB2312" w:cs="仿宋_GB2312"/>
          <w:sz w:val="32"/>
          <w:szCs w:val="32"/>
          <w:lang w:val="en-US" w:eastAsia="zh-CN"/>
        </w:rPr>
        <w:t>，其中</w:t>
      </w:r>
      <w:r>
        <w:rPr>
          <w:rFonts w:hint="default" w:ascii="仿宋_GB2312" w:hAnsi="仿宋_GB2312" w:eastAsia="仿宋_GB2312" w:cs="仿宋_GB2312"/>
          <w:sz w:val="32"/>
          <w:szCs w:val="32"/>
        </w:rPr>
        <w:t>新建站场红线外市政道路4条</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次干路3条，支路1条</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，道路长度总计4875.7m，占地面积约279838.7m</w:t>
      </w:r>
      <w:r>
        <w:rPr>
          <w:color w:val="auto"/>
          <w:sz w:val="32"/>
          <w:szCs w:val="32"/>
          <w:vertAlign w:val="superscript"/>
          <w:lang w:val="zh-CN"/>
        </w:rPr>
        <w:t>2</w:t>
      </w:r>
      <w:r>
        <w:rPr>
          <w:rFonts w:hint="eastAsia" w:ascii="仿宋_GB2312" w:hAnsi="仿宋_GB2312" w:eastAsia="仿宋_GB2312" w:cs="仿宋_GB2312"/>
          <w:sz w:val="32"/>
          <w:szCs w:val="32"/>
          <w:lang w:val="en-US" w:eastAsia="zh-CN"/>
        </w:rPr>
        <w:t>，利</w:t>
      </w:r>
      <w:r>
        <w:rPr>
          <w:rFonts w:hint="default" w:ascii="仿宋_GB2312" w:hAnsi="仿宋_GB2312" w:eastAsia="仿宋_GB2312" w:cs="仿宋_GB2312"/>
          <w:sz w:val="32"/>
          <w:szCs w:val="32"/>
          <w:lang w:val="en-US" w:eastAsia="zh-CN"/>
        </w:rPr>
        <w:t>用原湛江机场航站楼改造建设公共服务中心，作为湛江北站片区服务平台，主要为会展、办公等功能使用，改造建筑面积约15000</w:t>
      </w:r>
      <w:r>
        <w:rPr>
          <w:rFonts w:hint="default" w:ascii="仿宋_GB2312" w:hAnsi="仿宋_GB2312" w:eastAsia="仿宋_GB2312" w:cs="仿宋_GB2312"/>
          <w:sz w:val="32"/>
          <w:szCs w:val="32"/>
        </w:rPr>
        <w:t>m</w:t>
      </w:r>
      <w:r>
        <w:rPr>
          <w:color w:val="auto"/>
          <w:sz w:val="32"/>
          <w:szCs w:val="32"/>
          <w:vertAlign w:val="superscript"/>
          <w:lang w:val="zh-CN"/>
        </w:rPr>
        <w:t>2</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项目总用地面积约为：</w:t>
      </w:r>
      <w:r>
        <w:rPr>
          <w:rFonts w:hint="default" w:ascii="仿宋_GB2312" w:hAnsi="仿宋_GB2312" w:eastAsia="仿宋_GB2312" w:cs="仿宋_GB2312"/>
          <w:sz w:val="32"/>
          <w:szCs w:val="32"/>
          <w:lang w:val="en-US" w:eastAsia="zh-CN"/>
        </w:rPr>
        <w:t>294838.7</w:t>
      </w:r>
      <w:r>
        <w:rPr>
          <w:rFonts w:hint="default" w:ascii="仿宋_GB2312" w:hAnsi="仿宋_GB2312" w:eastAsia="仿宋_GB2312" w:cs="仿宋_GB2312"/>
          <w:sz w:val="32"/>
          <w:szCs w:val="32"/>
        </w:rPr>
        <w:t>m</w:t>
      </w:r>
      <w:r>
        <w:rPr>
          <w:color w:val="auto"/>
          <w:sz w:val="32"/>
          <w:szCs w:val="32"/>
          <w:vertAlign w:val="superscript"/>
          <w:lang w:val="zh-CN"/>
        </w:rPr>
        <w:t>2</w:t>
      </w:r>
      <w:r>
        <w:rPr>
          <w:rFonts w:hint="eastAsia" w:ascii="仿宋_GB2312" w:hAnsi="仿宋_GB2312" w:eastAsia="仿宋_GB2312" w:cs="仿宋_GB2312"/>
          <w:sz w:val="32"/>
          <w:szCs w:val="32"/>
          <w:lang w:val="en-US" w:eastAsia="zh-CN"/>
        </w:rPr>
        <w:t>，总</w:t>
      </w:r>
      <w:r>
        <w:rPr>
          <w:rFonts w:hint="default" w:ascii="仿宋_GB2312" w:hAnsi="仿宋_GB2312" w:eastAsia="仿宋_GB2312" w:cs="仿宋_GB2312"/>
          <w:sz w:val="32"/>
          <w:szCs w:val="32"/>
          <w:lang w:val="en-US" w:eastAsia="zh-CN"/>
        </w:rPr>
        <w:t>投资约17.52亿元，其中环保投资</w:t>
      </w:r>
      <w:r>
        <w:rPr>
          <w:rFonts w:hint="eastAsia" w:ascii="仿宋_GB2312" w:hAnsi="仿宋_GB2312" w:eastAsia="仿宋_GB2312" w:cs="仿宋_GB2312"/>
          <w:sz w:val="32"/>
          <w:szCs w:val="32"/>
          <w:lang w:val="en-US" w:eastAsia="zh-CN"/>
        </w:rPr>
        <w:t>1281</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项目具体建设组成及规模见表</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ker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kern w:val="0"/>
          <w:sz w:val="24"/>
          <w:szCs w:val="24"/>
          <w:lang w:val="en-US" w:eastAsia="zh-CN"/>
        </w:rPr>
      </w:pPr>
      <w:r>
        <w:rPr>
          <w:rFonts w:hint="default" w:ascii="Times New Roman" w:hAnsi="Times New Roman" w:cs="Times New Roman"/>
          <w:b/>
          <w:bCs/>
          <w:kern w:val="0"/>
          <w:sz w:val="24"/>
          <w:szCs w:val="24"/>
          <w:lang w:val="en-US" w:eastAsia="zh-CN"/>
        </w:rPr>
        <w:t>表1 项目建设组成及规模一览表</w:t>
      </w:r>
    </w:p>
    <w:tbl>
      <w:tblPr>
        <w:tblStyle w:val="16"/>
        <w:tblW w:w="827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2"/>
        <w:gridCol w:w="469"/>
        <w:gridCol w:w="1087"/>
        <w:gridCol w:w="62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20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项目组成</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工程内容及规模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主体工程</w:t>
            </w:r>
          </w:p>
        </w:tc>
        <w:tc>
          <w:tcPr>
            <w:tcW w:w="46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lang w:val="en-US" w:eastAsia="zh-CN"/>
              </w:rPr>
              <w:t>站场红线外道路建设工程</w:t>
            </w: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B050"/>
                <w:kern w:val="2"/>
                <w:sz w:val="21"/>
                <w:szCs w:val="21"/>
                <w:u w:val="none"/>
                <w:lang w:val="en-US" w:eastAsia="zh-CN" w:bidi="ar-SA"/>
              </w:rPr>
              <w:t>湛清路（湛江大道-湖光快线）</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次干路，双向6车道，设计车40km/h，沥青混凝土路面，东西走向，西起在建的湛江大道，东至湖光快线，长度2863.2m，红线宽度40m，占地面积128848.6m</w:t>
            </w:r>
            <w:r>
              <w:rPr>
                <w:rFonts w:hint="default" w:ascii="Times New Roman" w:hAnsi="Times New Roman" w:eastAsia="宋体" w:cs="Times New Roman"/>
                <w:i w:val="0"/>
                <w:iCs w:val="0"/>
                <w:color w:val="auto"/>
                <w:kern w:val="0"/>
                <w:sz w:val="21"/>
                <w:szCs w:val="21"/>
                <w:u w:val="none"/>
                <w:vertAlign w:val="superscript"/>
                <w:lang w:val="en-US" w:eastAsia="zh-CN" w:bidi="ar"/>
              </w:rPr>
              <w:t>2</w:t>
            </w:r>
            <w:r>
              <w:rPr>
                <w:rFonts w:hint="default" w:ascii="Times New Roman" w:hAnsi="Times New Roman" w:eastAsia="宋体" w:cs="Times New Roman"/>
                <w:i w:val="0"/>
                <w:iCs w:val="0"/>
                <w:color w:val="auto"/>
                <w:kern w:val="0"/>
                <w:sz w:val="21"/>
                <w:szCs w:val="21"/>
                <w:u w:val="none"/>
                <w:lang w:val="en-US" w:eastAsia="zh-CN" w:bidi="ar"/>
              </w:rPr>
              <w:t>，横断面布设：3m(人行道)+3m(自行车道)+2m(侧分带)+10.5m(行车道)+3m(中央分隔带)+10.5m</w:t>
            </w:r>
            <w:r>
              <w:rPr>
                <w:rFonts w:hint="default" w:ascii="Times New Roman" w:hAnsi="Times New Roman" w:eastAsia="宋体" w:cs="Times New Roman"/>
                <w:i w:val="0"/>
                <w:iCs w:val="0"/>
                <w:color w:val="auto"/>
                <w:kern w:val="0"/>
                <w:sz w:val="21"/>
                <w:szCs w:val="21"/>
                <w:u w:val="none"/>
                <w:lang w:val="en-US" w:eastAsia="zh-CN" w:bidi="ar"/>
              </w:rPr>
              <w:tab/>
            </w:r>
            <w:r>
              <w:rPr>
                <w:rFonts w:hint="default" w:ascii="Times New Roman" w:hAnsi="Times New Roman" w:eastAsia="宋体" w:cs="Times New Roman"/>
                <w:i w:val="0"/>
                <w:iCs w:val="0"/>
                <w:color w:val="auto"/>
                <w:kern w:val="0"/>
                <w:sz w:val="21"/>
                <w:szCs w:val="21"/>
                <w:u w:val="none"/>
                <w:lang w:val="en-US" w:eastAsia="zh-CN" w:bidi="ar"/>
              </w:rPr>
              <w:t>(行车道)+2m(侧分带)+3m(自行车道)+3m(人行道)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4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B050"/>
                <w:sz w:val="21"/>
                <w:szCs w:val="21"/>
                <w:u w:val="none"/>
                <w:lang w:val="en-US" w:eastAsia="zh-CN"/>
              </w:rPr>
              <w:t>港城路（湛清路-宜乐西路）</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次干路，双向6车道，设计车40km/h，沥青混凝土路面，南北走向，北起规划</w:t>
            </w:r>
            <w:r>
              <w:rPr>
                <w:rFonts w:hint="default" w:ascii="Times New Roman" w:hAnsi="Times New Roman" w:eastAsia="宋体" w:cs="Times New Roman"/>
                <w:i w:val="0"/>
                <w:iCs w:val="0"/>
                <w:color w:val="00B050"/>
                <w:sz w:val="21"/>
                <w:szCs w:val="21"/>
                <w:u w:val="none"/>
                <w:lang w:val="en-US" w:eastAsia="zh-CN"/>
              </w:rPr>
              <w:t>湛清路</w:t>
            </w:r>
            <w:r>
              <w:rPr>
                <w:rFonts w:hint="default" w:ascii="Times New Roman" w:hAnsi="Times New Roman" w:eastAsia="宋体" w:cs="Times New Roman"/>
                <w:i w:val="0"/>
                <w:iCs w:val="0"/>
                <w:color w:val="auto"/>
                <w:kern w:val="0"/>
                <w:sz w:val="21"/>
                <w:szCs w:val="21"/>
                <w:u w:val="none"/>
                <w:lang w:val="en-US" w:eastAsia="zh-CN" w:bidi="ar"/>
              </w:rPr>
              <w:t>，南至规划</w:t>
            </w:r>
            <w:r>
              <w:rPr>
                <w:rFonts w:hint="default" w:ascii="Times New Roman" w:hAnsi="Times New Roman" w:eastAsia="宋体" w:cs="Times New Roman"/>
                <w:i w:val="0"/>
                <w:iCs w:val="0"/>
                <w:color w:val="00B050"/>
                <w:sz w:val="21"/>
                <w:szCs w:val="21"/>
                <w:u w:val="none"/>
                <w:lang w:val="en-US" w:eastAsia="zh-CN"/>
              </w:rPr>
              <w:t>宜乐西路</w:t>
            </w:r>
            <w:r>
              <w:rPr>
                <w:rFonts w:hint="default" w:ascii="Times New Roman" w:hAnsi="Times New Roman" w:eastAsia="宋体" w:cs="Times New Roman"/>
                <w:i w:val="0"/>
                <w:iCs w:val="0"/>
                <w:color w:val="auto"/>
                <w:kern w:val="0"/>
                <w:sz w:val="21"/>
                <w:szCs w:val="21"/>
                <w:u w:val="none"/>
                <w:lang w:val="en-US" w:eastAsia="zh-CN" w:bidi="ar"/>
              </w:rPr>
              <w:t>，长度782m，红线宽度45m，占地面积118492m</w:t>
            </w:r>
            <w:r>
              <w:rPr>
                <w:rFonts w:hint="default" w:ascii="Times New Roman" w:hAnsi="Times New Roman" w:eastAsia="宋体" w:cs="Times New Roman"/>
                <w:i w:val="0"/>
                <w:iCs w:val="0"/>
                <w:color w:val="auto"/>
                <w:kern w:val="0"/>
                <w:sz w:val="21"/>
                <w:szCs w:val="21"/>
                <w:u w:val="none"/>
                <w:vertAlign w:val="superscript"/>
                <w:lang w:val="en-US" w:eastAsia="zh-CN" w:bidi="ar"/>
              </w:rPr>
              <w:t>2</w:t>
            </w:r>
            <w:r>
              <w:rPr>
                <w:rFonts w:hint="default" w:ascii="Times New Roman" w:hAnsi="Times New Roman" w:eastAsia="宋体" w:cs="Times New Roman"/>
                <w:i w:val="0"/>
                <w:iCs w:val="0"/>
                <w:color w:val="auto"/>
                <w:kern w:val="0"/>
                <w:sz w:val="21"/>
                <w:szCs w:val="21"/>
                <w:u w:val="none"/>
                <w:lang w:val="en-US" w:eastAsia="zh-CN" w:bidi="ar"/>
              </w:rPr>
              <w:t>，横断面布设：3m(人行道)+4.5m(自行车道)+2.5m(侧分带)+11.5m(行车道)+2m(中央分隔带)+11.5m</w:t>
            </w:r>
            <w:r>
              <w:rPr>
                <w:rFonts w:hint="default" w:ascii="Times New Roman" w:hAnsi="Times New Roman" w:eastAsia="宋体" w:cs="Times New Roman"/>
                <w:i w:val="0"/>
                <w:iCs w:val="0"/>
                <w:color w:val="auto"/>
                <w:kern w:val="0"/>
                <w:sz w:val="21"/>
                <w:szCs w:val="21"/>
                <w:u w:val="none"/>
                <w:lang w:val="en-US" w:eastAsia="zh-CN" w:bidi="ar"/>
              </w:rPr>
              <w:tab/>
            </w:r>
            <w:r>
              <w:rPr>
                <w:rFonts w:hint="default" w:ascii="Times New Roman" w:hAnsi="Times New Roman" w:eastAsia="宋体" w:cs="Times New Roman"/>
                <w:i w:val="0"/>
                <w:iCs w:val="0"/>
                <w:color w:val="auto"/>
                <w:kern w:val="0"/>
                <w:sz w:val="21"/>
                <w:szCs w:val="21"/>
                <w:u w:val="none"/>
                <w:lang w:val="en-US" w:eastAsia="zh-CN" w:bidi="ar"/>
              </w:rPr>
              <w:t>(行车道)+2.5m(侧分带)+4.5m(自行车道)+3m(人行道)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4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00B050"/>
                <w:kern w:val="2"/>
                <w:sz w:val="21"/>
                <w:szCs w:val="21"/>
                <w:u w:val="none"/>
                <w:lang w:val="en-US" w:eastAsia="zh-CN" w:bidi="ar-SA"/>
              </w:rPr>
              <w:t>顺达路（湛清路-湛阳路）</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2"/>
                <w:sz w:val="21"/>
                <w:szCs w:val="21"/>
                <w:u w:val="none"/>
                <w:lang w:val="en-US" w:eastAsia="zh-CN" w:bidi="ar-SA"/>
              </w:rPr>
            </w:pPr>
            <w:r>
              <w:rPr>
                <w:rFonts w:hint="default" w:ascii="Times New Roman" w:hAnsi="Times New Roman" w:eastAsia="宋体" w:cs="Times New Roman"/>
                <w:i w:val="0"/>
                <w:iCs w:val="0"/>
                <w:color w:val="auto"/>
                <w:kern w:val="0"/>
                <w:sz w:val="21"/>
                <w:szCs w:val="21"/>
                <w:u w:val="none"/>
                <w:lang w:val="en-US" w:eastAsia="zh-CN" w:bidi="ar"/>
              </w:rPr>
              <w:t>次干路，双向4车道，设计车40km/h，沥青混凝土路面，南北走向，北起规划</w:t>
            </w:r>
            <w:r>
              <w:rPr>
                <w:rFonts w:hint="default" w:ascii="Times New Roman" w:hAnsi="Times New Roman" w:eastAsia="宋体" w:cs="Times New Roman"/>
                <w:i w:val="0"/>
                <w:iCs w:val="0"/>
                <w:color w:val="00B050"/>
                <w:kern w:val="2"/>
                <w:sz w:val="21"/>
                <w:szCs w:val="21"/>
                <w:u w:val="none"/>
                <w:lang w:val="en-US" w:eastAsia="zh-CN" w:bidi="ar-SA"/>
              </w:rPr>
              <w:t>湛清路</w:t>
            </w:r>
            <w:r>
              <w:rPr>
                <w:rFonts w:hint="default" w:ascii="Times New Roman" w:hAnsi="Times New Roman" w:eastAsia="宋体" w:cs="Times New Roman"/>
                <w:i w:val="0"/>
                <w:iCs w:val="0"/>
                <w:color w:val="auto"/>
                <w:kern w:val="0"/>
                <w:sz w:val="21"/>
                <w:szCs w:val="21"/>
                <w:u w:val="none"/>
                <w:lang w:val="en-US" w:eastAsia="zh-CN" w:bidi="ar"/>
              </w:rPr>
              <w:t>，南至规划</w:t>
            </w:r>
            <w:r>
              <w:rPr>
                <w:rFonts w:hint="default" w:ascii="Times New Roman" w:hAnsi="Times New Roman" w:eastAsia="宋体" w:cs="Times New Roman"/>
                <w:i w:val="0"/>
                <w:iCs w:val="0"/>
                <w:color w:val="00B050"/>
                <w:kern w:val="2"/>
                <w:sz w:val="21"/>
                <w:szCs w:val="21"/>
                <w:u w:val="none"/>
                <w:lang w:val="en-US" w:eastAsia="zh-CN" w:bidi="ar-SA"/>
              </w:rPr>
              <w:t>湛阳路</w:t>
            </w:r>
            <w:r>
              <w:rPr>
                <w:rFonts w:hint="default" w:ascii="Times New Roman" w:hAnsi="Times New Roman" w:eastAsia="宋体" w:cs="Times New Roman"/>
                <w:i w:val="0"/>
                <w:iCs w:val="0"/>
                <w:color w:val="auto"/>
                <w:kern w:val="0"/>
                <w:sz w:val="21"/>
                <w:szCs w:val="21"/>
                <w:u w:val="none"/>
                <w:lang w:val="en-US" w:eastAsia="zh-CN" w:bidi="ar"/>
              </w:rPr>
              <w:t>，长度473.5m，红线宽度30m，占地面积16920.8m</w:t>
            </w:r>
            <w:r>
              <w:rPr>
                <w:rFonts w:hint="default" w:ascii="Times New Roman" w:hAnsi="Times New Roman" w:eastAsia="宋体" w:cs="Times New Roman"/>
                <w:i w:val="0"/>
                <w:iCs w:val="0"/>
                <w:color w:val="auto"/>
                <w:kern w:val="0"/>
                <w:sz w:val="21"/>
                <w:szCs w:val="21"/>
                <w:u w:val="none"/>
                <w:vertAlign w:val="superscript"/>
                <w:lang w:val="en-US" w:eastAsia="zh-CN" w:bidi="ar"/>
              </w:rPr>
              <w:t>2</w:t>
            </w:r>
            <w:r>
              <w:rPr>
                <w:rFonts w:hint="default" w:ascii="Times New Roman" w:hAnsi="Times New Roman" w:eastAsia="宋体" w:cs="Times New Roman"/>
                <w:i w:val="0"/>
                <w:iCs w:val="0"/>
                <w:color w:val="auto"/>
                <w:kern w:val="0"/>
                <w:sz w:val="21"/>
                <w:szCs w:val="21"/>
                <w:u w:val="none"/>
                <w:lang w:val="en-US" w:eastAsia="zh-CN" w:bidi="ar"/>
              </w:rPr>
              <w:t>。，横断面布设：3m(人行道)+2.5m(自行车道)+2m(侧分带)+7.5m(行车道)+7.5m(行车道)+2m(侧分带)+2.5m(自行车道)+3m(人行道)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4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B050"/>
                <w:kern w:val="0"/>
                <w:sz w:val="21"/>
                <w:szCs w:val="21"/>
                <w:u w:val="none"/>
                <w:lang w:val="en-US" w:eastAsia="zh-CN" w:bidi="ar"/>
              </w:rPr>
              <w:t>顺通路（湛清路-宜乐西路）</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cs="Times New Roman"/>
                <w:i w:val="0"/>
                <w:iCs w:val="0"/>
                <w:color w:val="auto"/>
                <w:kern w:val="0"/>
                <w:sz w:val="21"/>
                <w:szCs w:val="21"/>
                <w:u w:val="none"/>
                <w:lang w:val="en-US" w:eastAsia="zh-CN" w:bidi="ar"/>
              </w:rPr>
              <w:t>支路，双向4车道，设计车30km/h，沥青混凝土路面，南北走向，北起规划</w:t>
            </w:r>
            <w:r>
              <w:rPr>
                <w:rFonts w:hint="default" w:ascii="Times New Roman" w:hAnsi="Times New Roman" w:eastAsia="宋体" w:cs="Times New Roman"/>
                <w:i w:val="0"/>
                <w:iCs w:val="0"/>
                <w:color w:val="00B050"/>
                <w:kern w:val="0"/>
                <w:sz w:val="21"/>
                <w:szCs w:val="21"/>
                <w:u w:val="none"/>
                <w:lang w:val="en-US" w:eastAsia="zh-CN" w:bidi="ar"/>
              </w:rPr>
              <w:t>湛清路</w:t>
            </w:r>
            <w:r>
              <w:rPr>
                <w:rFonts w:hint="default" w:ascii="Times New Roman" w:hAnsi="Times New Roman" w:cs="Times New Roman"/>
                <w:i w:val="0"/>
                <w:iCs w:val="0"/>
                <w:color w:val="auto"/>
                <w:kern w:val="0"/>
                <w:sz w:val="21"/>
                <w:szCs w:val="21"/>
                <w:u w:val="none"/>
                <w:lang w:val="en-US" w:eastAsia="zh-CN" w:bidi="ar"/>
              </w:rPr>
              <w:t>，南至规划</w:t>
            </w:r>
            <w:r>
              <w:rPr>
                <w:rFonts w:hint="default" w:ascii="Times New Roman" w:hAnsi="Times New Roman" w:eastAsia="宋体" w:cs="Times New Roman"/>
                <w:i w:val="0"/>
                <w:iCs w:val="0"/>
                <w:color w:val="00B050"/>
                <w:kern w:val="0"/>
                <w:sz w:val="21"/>
                <w:szCs w:val="21"/>
                <w:u w:val="none"/>
                <w:lang w:val="en-US" w:eastAsia="zh-CN" w:bidi="ar"/>
              </w:rPr>
              <w:t>宜乐西路</w:t>
            </w:r>
            <w:r>
              <w:rPr>
                <w:rFonts w:hint="default" w:ascii="Times New Roman" w:hAnsi="Times New Roman" w:cs="Times New Roman"/>
                <w:i w:val="0"/>
                <w:iCs w:val="0"/>
                <w:color w:val="auto"/>
                <w:kern w:val="0"/>
                <w:sz w:val="21"/>
                <w:szCs w:val="21"/>
                <w:u w:val="none"/>
                <w:lang w:val="en-US" w:eastAsia="zh-CN" w:bidi="ar"/>
              </w:rPr>
              <w:t>，长度757m，红线宽度25m，占地面积89382m</w:t>
            </w:r>
            <w:r>
              <w:rPr>
                <w:rFonts w:hint="default" w:ascii="Times New Roman" w:hAnsi="Times New Roman" w:cs="Times New Roman"/>
                <w:i w:val="0"/>
                <w:iCs w:val="0"/>
                <w:color w:val="auto"/>
                <w:kern w:val="0"/>
                <w:sz w:val="21"/>
                <w:szCs w:val="21"/>
                <w:u w:val="none"/>
                <w:vertAlign w:val="superscript"/>
                <w:lang w:val="en-US" w:eastAsia="zh-CN" w:bidi="ar"/>
              </w:rPr>
              <w:t>2</w:t>
            </w:r>
            <w:r>
              <w:rPr>
                <w:rFonts w:hint="default" w:ascii="Times New Roman" w:hAnsi="Times New Roman" w:cs="Times New Roman"/>
                <w:i w:val="0"/>
                <w:iCs w:val="0"/>
                <w:color w:val="auto"/>
                <w:kern w:val="0"/>
                <w:sz w:val="21"/>
                <w:szCs w:val="21"/>
                <w:u w:val="none"/>
                <w:lang w:val="en-US" w:eastAsia="zh-CN" w:bidi="ar"/>
              </w:rPr>
              <w:t>，</w:t>
            </w:r>
            <w:r>
              <w:rPr>
                <w:rFonts w:hint="default" w:ascii="Times New Roman" w:hAnsi="Times New Roman" w:eastAsia="宋体" w:cs="Times New Roman"/>
                <w:i w:val="0"/>
                <w:iCs w:val="0"/>
                <w:color w:val="auto"/>
                <w:kern w:val="0"/>
                <w:sz w:val="21"/>
                <w:szCs w:val="21"/>
                <w:u w:val="none"/>
                <w:lang w:val="en-US" w:eastAsia="zh-CN" w:bidi="ar"/>
              </w:rPr>
              <w:t>横断面布设：2m(人行道)+2m(自行车道)+1.5m(树池)+7m(行车道)+7m(行车道)+1.5m(树池)+2m(自行车道)+2m(人行道)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4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桥梁工程</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共设置</w:t>
            </w:r>
            <w:r>
              <w:rPr>
                <w:rFonts w:hint="default" w:ascii="Times New Roman" w:hAnsi="Times New Roman"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座桥梁，</w:t>
            </w:r>
            <w:r>
              <w:rPr>
                <w:rFonts w:hint="default" w:ascii="Times New Roman" w:hAnsi="Times New Roman" w:eastAsia="宋体" w:cs="Times New Roman"/>
                <w:i w:val="0"/>
                <w:iCs w:val="0"/>
                <w:color w:val="00B050"/>
                <w:kern w:val="0"/>
                <w:sz w:val="21"/>
                <w:szCs w:val="21"/>
                <w:u w:val="none"/>
                <w:lang w:val="en-US" w:eastAsia="zh-CN" w:bidi="ar"/>
              </w:rPr>
              <w:t>湛清路</w:t>
            </w:r>
            <w:r>
              <w:rPr>
                <w:rFonts w:hint="default" w:ascii="Times New Roman" w:hAnsi="Times New Roman" w:eastAsia="宋体" w:cs="Times New Roman"/>
                <w:i w:val="0"/>
                <w:iCs w:val="0"/>
                <w:color w:val="000000"/>
                <w:kern w:val="0"/>
                <w:sz w:val="21"/>
                <w:szCs w:val="21"/>
                <w:u w:val="none"/>
                <w:lang w:val="en-US" w:eastAsia="zh-CN" w:bidi="ar"/>
              </w:rPr>
              <w:t>与湛江大道交叉口位置设置290m跨线桥上跨湛江大道，采用现浇预应力箱梁结构，桥跨布置：3×25m(预应力砼连续梁)+(30+40+40+30)m(预应力砼连续梁)+3×25m(预应力砼连续梁)</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B050"/>
                <w:kern w:val="0"/>
                <w:sz w:val="21"/>
                <w:szCs w:val="21"/>
                <w:u w:val="none"/>
                <w:lang w:val="en-US" w:eastAsia="zh-CN" w:bidi="ar"/>
              </w:rPr>
              <w:t>湛清路</w:t>
            </w:r>
            <w:r>
              <w:rPr>
                <w:rFonts w:hint="default" w:ascii="Times New Roman" w:hAnsi="Times New Roman" w:eastAsia="宋体" w:cs="Times New Roman"/>
                <w:i w:val="0"/>
                <w:iCs w:val="0"/>
                <w:color w:val="000000"/>
                <w:kern w:val="0"/>
                <w:sz w:val="21"/>
                <w:szCs w:val="21"/>
                <w:u w:val="none"/>
                <w:lang w:val="en-US" w:eastAsia="zh-CN" w:bidi="ar"/>
              </w:rPr>
              <w:t>与湖光快线交叉口位置设置350m跨线桥上跨湖光快线</w:t>
            </w:r>
            <w:r>
              <w:rPr>
                <w:rFonts w:hint="default" w:ascii="Times New Roman" w:hAnsi="Times New Roman" w:cs="Times New Roman"/>
                <w:i w:val="0"/>
                <w:iCs w:val="0"/>
                <w:color w:val="000000"/>
                <w:kern w:val="0"/>
                <w:sz w:val="21"/>
                <w:szCs w:val="21"/>
                <w:u w:val="none"/>
                <w:lang w:val="en-US" w:eastAsia="zh-CN" w:bidi="ar"/>
              </w:rPr>
              <w:t>，采用现浇预应力箱梁结构，桥跨布置：4</w:t>
            </w:r>
            <w:r>
              <w:rPr>
                <w:rFonts w:hint="default"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cs="Times New Roman"/>
                <w:i w:val="0"/>
                <w:iCs w:val="0"/>
                <w:color w:val="000000"/>
                <w:kern w:val="0"/>
                <w:sz w:val="21"/>
                <w:szCs w:val="21"/>
                <w:u w:val="none"/>
                <w:lang w:val="en-US" w:eastAsia="zh-CN" w:bidi="ar"/>
              </w:rPr>
              <w:t>25m（预应力砼连续梁）+(30+45+45+30)m(预应力砼连续梁)+</w:t>
            </w:r>
            <w:r>
              <w:rPr>
                <w:rFonts w:hint="default" w:ascii="Times New Roman" w:hAnsi="Times New Roman" w:eastAsia="宋体" w:cs="Times New Roman"/>
                <w:i w:val="0"/>
                <w:iCs w:val="0"/>
                <w:color w:val="000000"/>
                <w:kern w:val="0"/>
                <w:sz w:val="21"/>
                <w:szCs w:val="21"/>
                <w:u w:val="none"/>
                <w:lang w:val="en-US" w:eastAsia="zh-CN" w:bidi="ar"/>
              </w:rPr>
              <w:t>4×25m</w:t>
            </w:r>
            <w:r>
              <w:rPr>
                <w:rFonts w:hint="default" w:ascii="Times New Roman" w:hAnsi="Times New Roman" w:cs="Times New Roman"/>
                <w:i w:val="0"/>
                <w:iCs w:val="0"/>
                <w:color w:val="000000"/>
                <w:kern w:val="0"/>
                <w:sz w:val="21"/>
                <w:szCs w:val="21"/>
                <w:u w:val="none"/>
                <w:lang w:val="en-US" w:eastAsia="zh-CN" w:bidi="ar"/>
              </w:rPr>
              <w:t>(预应力砼连续梁)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46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隧道工程</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设置隧道</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地道桥</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0000"/>
                <w:kern w:val="0"/>
                <w:sz w:val="21"/>
                <w:szCs w:val="21"/>
                <w:u w:val="none"/>
                <w:lang w:val="en-US" w:eastAsia="zh-CN" w:bidi="ar"/>
              </w:rPr>
              <w:t>，</w:t>
            </w:r>
            <w:r>
              <w:rPr>
                <w:rFonts w:hint="default" w:ascii="Times New Roman" w:hAnsi="Times New Roman" w:eastAsia="宋体" w:cs="Times New Roman"/>
                <w:i w:val="0"/>
                <w:iCs w:val="0"/>
                <w:color w:val="00B050"/>
                <w:kern w:val="0"/>
                <w:sz w:val="21"/>
                <w:szCs w:val="21"/>
                <w:u w:val="none"/>
                <w:lang w:val="en-US" w:eastAsia="zh-CN" w:bidi="ar"/>
              </w:rPr>
              <w:t>湛清路</w:t>
            </w:r>
            <w:r>
              <w:rPr>
                <w:rFonts w:hint="default" w:ascii="Times New Roman" w:hAnsi="Times New Roman" w:eastAsia="宋体" w:cs="Times New Roman"/>
                <w:i w:val="0"/>
                <w:iCs w:val="0"/>
                <w:color w:val="000000"/>
                <w:kern w:val="0"/>
                <w:sz w:val="21"/>
                <w:szCs w:val="21"/>
                <w:u w:val="none"/>
                <w:lang w:val="en-US" w:eastAsia="zh-CN" w:bidi="ar"/>
              </w:rPr>
              <w:t>下穿黎湛铁路，隧道长30</w:t>
            </w:r>
            <w:r>
              <w:rPr>
                <w:rFonts w:hint="default" w:ascii="Times New Roman" w:hAnsi="Times New Roman" w:cs="Times New Roman"/>
                <w:i w:val="0"/>
                <w:iCs w:val="0"/>
                <w:color w:val="000000"/>
                <w:kern w:val="0"/>
                <w:sz w:val="21"/>
                <w:szCs w:val="21"/>
                <w:u w:val="none"/>
                <w:lang w:val="en-US" w:eastAsia="zh-CN" w:bidi="ar"/>
              </w:rPr>
              <w: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5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lang w:val="en-US" w:eastAsia="zh-CN"/>
              </w:rPr>
              <w:t>改造建设公共服务中心工程</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sz w:val="21"/>
                <w:szCs w:val="21"/>
                <w:u w:val="none"/>
                <w:lang w:val="en-US" w:eastAsia="zh-CN"/>
              </w:rPr>
              <w:t>利用原湛江机场航站楼改造建设公共服务中心，作为湛江北站片区服务平台，主要为会展、办公等功能使用，改造建筑面积约15000m</w:t>
            </w:r>
            <w:r>
              <w:rPr>
                <w:rFonts w:hint="default" w:ascii="Times New Roman" w:hAnsi="Times New Roman" w:eastAsia="宋体" w:cs="Times New Roman"/>
                <w:i w:val="0"/>
                <w:iCs w:val="0"/>
                <w:color w:val="000000"/>
                <w:sz w:val="21"/>
                <w:szCs w:val="21"/>
                <w:u w:val="none"/>
                <w:vertAlign w:val="superscript"/>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辅助工程</w:t>
            </w:r>
          </w:p>
        </w:tc>
        <w:tc>
          <w:tcPr>
            <w:tcW w:w="15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地下综合管廊工程</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布设于</w:t>
            </w:r>
            <w:r>
              <w:rPr>
                <w:rFonts w:hint="eastAsia" w:cs="Times New Roman"/>
                <w:i w:val="0"/>
                <w:iCs w:val="0"/>
                <w:color w:val="00B050"/>
                <w:kern w:val="0"/>
                <w:sz w:val="21"/>
                <w:szCs w:val="21"/>
                <w:u w:val="none"/>
                <w:lang w:val="en-US" w:eastAsia="zh-CN" w:bidi="ar"/>
              </w:rPr>
              <w:t>湛清路</w:t>
            </w:r>
            <w:r>
              <w:rPr>
                <w:rFonts w:hint="default" w:ascii="Times New Roman" w:hAnsi="Times New Roman" w:eastAsia="宋体" w:cs="Times New Roman"/>
                <w:i w:val="0"/>
                <w:iCs w:val="0"/>
                <w:color w:val="000000"/>
                <w:kern w:val="0"/>
                <w:sz w:val="21"/>
                <w:szCs w:val="21"/>
                <w:u w:val="none"/>
                <w:lang w:val="en-US" w:eastAsia="zh-CN" w:bidi="ar"/>
              </w:rPr>
              <w:t>道路右侧机动车道及人行道之下。设置给水管(DN600)、中水管DN200)/(DN400)、电力缆线(10kV)、通信缆线入廊。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5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交通工程</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按国家交通相关规范要求，在道路两侧安设交通标志、标线及交通信号设施等。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公用工程</w:t>
            </w:r>
          </w:p>
        </w:tc>
        <w:tc>
          <w:tcPr>
            <w:tcW w:w="15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给排水</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lang w:val="en-US"/>
              </w:rPr>
            </w:pPr>
            <w:r>
              <w:rPr>
                <w:rFonts w:hint="default" w:ascii="Times New Roman" w:hAnsi="Times New Roman" w:eastAsia="宋体" w:cs="Times New Roman"/>
                <w:i w:val="0"/>
                <w:iCs w:val="0"/>
                <w:color w:val="000000"/>
                <w:kern w:val="0"/>
                <w:sz w:val="21"/>
                <w:szCs w:val="21"/>
                <w:u w:val="none"/>
                <w:lang w:val="en-US" w:eastAsia="zh-CN" w:bidi="ar"/>
              </w:rPr>
              <w:t>施工临时用水由市政供给；施工队伍就近租住民房，不单独设置施工营地，项目主要施工场地均设置截水沟、隔油沉淀池，将施工废水回用于场地洒水抑尘</w:t>
            </w:r>
            <w:r>
              <w:rPr>
                <w:rFonts w:hint="default" w:ascii="Times New Roman" w:hAnsi="Times New Roman" w:cs="Times New Roman"/>
                <w:i w:val="0"/>
                <w:iCs w:val="0"/>
                <w:color w:val="000000"/>
                <w:kern w:val="0"/>
                <w:sz w:val="21"/>
                <w:szCs w:val="21"/>
                <w:u w:val="none"/>
                <w:lang w:val="en-US" w:eastAsia="zh-CN" w:bidi="ar"/>
              </w:rPr>
              <w:t>等施工</w:t>
            </w:r>
            <w:r>
              <w:rPr>
                <w:rFonts w:hint="default" w:ascii="Times New Roman" w:hAnsi="Times New Roman" w:eastAsia="宋体" w:cs="Times New Roman"/>
                <w:i w:val="0"/>
                <w:iCs w:val="0"/>
                <w:color w:val="000000"/>
                <w:kern w:val="0"/>
                <w:sz w:val="21"/>
                <w:szCs w:val="21"/>
                <w:u w:val="none"/>
                <w:lang w:val="en-US" w:eastAsia="zh-CN" w:bidi="ar"/>
              </w:rPr>
              <w:t>用水，不外排。</w:t>
            </w:r>
            <w:r>
              <w:rPr>
                <w:rFonts w:hint="default" w:ascii="Times New Roman" w:hAnsi="Times New Roman" w:cs="Times New Roman"/>
                <w:i w:val="0"/>
                <w:iCs w:val="0"/>
                <w:color w:val="000000"/>
                <w:kern w:val="0"/>
                <w:sz w:val="21"/>
                <w:szCs w:val="21"/>
                <w:u w:val="none"/>
                <w:lang w:val="en-US" w:eastAsia="zh-CN" w:bidi="ar"/>
              </w:rPr>
              <w:t>项目建成后道路配套雨污管网、中水管道，改建公共服务中心污水依托原有排污系统进入霞山水质净化厂统一处理。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51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1"/>
                <w:szCs w:val="21"/>
                <w:u w:val="none"/>
              </w:rPr>
            </w:pPr>
          </w:p>
        </w:tc>
        <w:tc>
          <w:tcPr>
            <w:tcW w:w="1556"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供电</w:t>
            </w:r>
          </w:p>
        </w:tc>
        <w:tc>
          <w:tcPr>
            <w:tcW w:w="62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施工区沿线有国家电网覆盖，工程施工用电由市政供给。</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该项目运营过程中</w:t>
      </w:r>
      <w:r>
        <w:rPr>
          <w:rFonts w:hint="default" w:ascii="仿宋_GB2312" w:hAnsi="仿宋_GB2312" w:eastAsia="仿宋_GB2312" w:cs="仿宋_GB2312"/>
          <w:sz w:val="32"/>
          <w:szCs w:val="32"/>
          <w:lang w:val="en-US" w:eastAsia="zh-CN"/>
        </w:rPr>
        <w:t>公共服务中心</w:t>
      </w:r>
      <w:r>
        <w:rPr>
          <w:rFonts w:hint="eastAsia" w:ascii="仿宋_GB2312" w:hAnsi="仿宋_GB2312" w:eastAsia="仿宋_GB2312" w:cs="仿宋_GB2312"/>
          <w:sz w:val="32"/>
          <w:szCs w:val="32"/>
          <w:lang w:val="en-US" w:eastAsia="zh-CN"/>
        </w:rPr>
        <w:t>产生的</w:t>
      </w:r>
      <w:r>
        <w:rPr>
          <w:rFonts w:hint="default" w:ascii="仿宋_GB2312" w:hAnsi="仿宋_GB2312" w:eastAsia="仿宋_GB2312" w:cs="仿宋_GB2312"/>
          <w:sz w:val="32"/>
          <w:szCs w:val="32"/>
          <w:lang w:val="en-US" w:eastAsia="zh-CN"/>
        </w:rPr>
        <w:t>生活污水经三级化粪池预处理后排放至霞山水质净化厂进一步处理</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执行广东省地方标准《水污染物排放限值》（DB44/26-2001）第二时段三级标准</w:t>
      </w:r>
      <w:r>
        <w:rPr>
          <w:rFonts w:hint="eastAsia" w:ascii="仿宋_GB2312" w:hAnsi="仿宋_GB2312" w:eastAsia="仿宋_GB2312" w:cs="仿宋_GB2312"/>
          <w:sz w:val="32"/>
          <w:szCs w:val="32"/>
          <w:lang w:val="en-US" w:eastAsia="zh-CN"/>
        </w:rPr>
        <w:t>；项目沿线噪声执行标准见表2</w:t>
      </w:r>
      <w:r>
        <w:rPr>
          <w:rFonts w:hint="default" w:ascii="仿宋_GB2312" w:hAnsi="仿宋_GB2312" w:eastAsia="仿宋_GB2312" w:cs="仿宋_GB2312"/>
          <w:sz w:val="32"/>
          <w:szCs w:val="32"/>
          <w:lang w:val="en-GB" w:eastAsia="zh-TW"/>
        </w:rPr>
        <w:t>。</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default" w:ascii="Times New Roman" w:hAnsi="Times New Roman" w:eastAsia="宋体" w:cs="Times New Roman"/>
          <w:b/>
          <w:bCs/>
          <w:color w:val="auto"/>
          <w:kern w:val="0"/>
          <w:sz w:val="24"/>
          <w:szCs w:val="24"/>
          <w:lang w:val="en-US" w:eastAsia="zh-CN"/>
        </w:rPr>
      </w:pPr>
      <w:r>
        <w:rPr>
          <w:rFonts w:hint="default" w:ascii="Times New Roman" w:hAnsi="Times New Roman" w:cs="Times New Roman"/>
          <w:b/>
          <w:bCs/>
          <w:color w:val="auto"/>
          <w:kern w:val="0"/>
          <w:sz w:val="24"/>
          <w:szCs w:val="24"/>
          <w:lang w:val="en-US" w:eastAsia="zh-CN"/>
        </w:rPr>
        <w:t>表</w:t>
      </w:r>
      <w:r>
        <w:rPr>
          <w:rFonts w:hint="eastAsia" w:ascii="Times New Roman" w:hAnsi="Times New Roman" w:cs="Times New Roman"/>
          <w:b/>
          <w:bCs/>
          <w:color w:val="auto"/>
          <w:kern w:val="0"/>
          <w:sz w:val="24"/>
          <w:szCs w:val="24"/>
          <w:lang w:val="en-US" w:eastAsia="zh-CN"/>
        </w:rPr>
        <w:t>2</w:t>
      </w:r>
      <w:r>
        <w:rPr>
          <w:rFonts w:hint="default" w:ascii="Times New Roman" w:hAnsi="Times New Roman" w:cs="Times New Roman"/>
          <w:b/>
          <w:bCs/>
          <w:color w:val="auto"/>
          <w:kern w:val="0"/>
          <w:sz w:val="24"/>
          <w:szCs w:val="24"/>
          <w:lang w:val="en-US" w:eastAsia="zh-CN"/>
        </w:rPr>
        <w:t xml:space="preserve"> 项目沿线噪声执行标准</w:t>
      </w:r>
    </w:p>
    <w:tbl>
      <w:tblPr>
        <w:tblStyle w:val="16"/>
        <w:tblW w:w="82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0"/>
        <w:gridCol w:w="651"/>
        <w:gridCol w:w="1062"/>
        <w:gridCol w:w="685"/>
        <w:gridCol w:w="665"/>
        <w:gridCol w:w="717"/>
        <w:gridCol w:w="40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序号</w:t>
            </w:r>
          </w:p>
        </w:tc>
        <w:tc>
          <w:tcPr>
            <w:tcW w:w="65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名称</w:t>
            </w:r>
          </w:p>
        </w:tc>
        <w:tc>
          <w:tcPr>
            <w:tcW w:w="106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与道路边界线的距离</w:t>
            </w:r>
          </w:p>
        </w:tc>
        <w:tc>
          <w:tcPr>
            <w:tcW w:w="68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声功能区</w:t>
            </w:r>
          </w:p>
        </w:tc>
        <w:tc>
          <w:tcPr>
            <w:tcW w:w="1382"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质量标准（dB）</w:t>
            </w:r>
          </w:p>
        </w:tc>
        <w:tc>
          <w:tcPr>
            <w:tcW w:w="4039"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适用路段/范围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昼间</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夜间</w:t>
            </w:r>
          </w:p>
        </w:tc>
        <w:tc>
          <w:tcPr>
            <w:tcW w:w="403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1</w:t>
            </w:r>
          </w:p>
        </w:tc>
        <w:tc>
          <w:tcPr>
            <w:tcW w:w="65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00B050"/>
                <w:sz w:val="18"/>
                <w:szCs w:val="18"/>
                <w:lang w:val="en-US" w:eastAsia="zh-CN"/>
              </w:rPr>
              <w:t>湛清路</w:t>
            </w:r>
          </w:p>
        </w:tc>
        <w:tc>
          <w:tcPr>
            <w:tcW w:w="106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35m以内</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当临街建筑低于三层楼房为主时，道路边界线35m以内的区域</w:t>
            </w:r>
            <w:r>
              <w:rPr>
                <w:rFonts w:hint="default" w:ascii="Times New Roman" w:hAnsi="Times New Roman" w:cs="Times New Roman"/>
                <w:color w:val="auto"/>
                <w:sz w:val="18"/>
                <w:szCs w:val="18"/>
                <w:lang w:val="en-US" w:eastAsia="zh-CN"/>
              </w:rPr>
              <w:br w:type="textWrapping"/>
            </w:r>
            <w:r>
              <w:rPr>
                <w:rFonts w:hint="default" w:ascii="Times New Roman" w:hAnsi="Times New Roman" w:cs="Times New Roman"/>
                <w:color w:val="auto"/>
                <w:sz w:val="18"/>
                <w:szCs w:val="18"/>
                <w:lang w:val="en-US" w:eastAsia="zh-CN"/>
              </w:rPr>
              <w:t>当临街建筑高于三层楼房以上（含三层）时，临街建筑面向道路一侧至道路边界线的区域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当临街建筑高于三层楼房以上（含三层）时，第一排建筑背向道路一侧及第二排起区域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35m以外</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道路边界线35m外的区域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4b类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铁路干线用地范围外40m内的区域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当临街建筑低于三层楼房为主时，湛江大道/湖光快线边界线40m以内的区域</w:t>
            </w:r>
            <w:r>
              <w:rPr>
                <w:rFonts w:hint="default" w:ascii="Times New Roman" w:hAnsi="Times New Roman" w:cs="Times New Roman"/>
                <w:color w:val="auto"/>
                <w:sz w:val="18"/>
                <w:szCs w:val="18"/>
                <w:lang w:val="en-US" w:eastAsia="zh-CN"/>
              </w:rPr>
              <w:br w:type="textWrapping"/>
            </w:r>
            <w:r>
              <w:rPr>
                <w:rFonts w:hint="default" w:ascii="Times New Roman" w:hAnsi="Times New Roman" w:cs="Times New Roman"/>
                <w:color w:val="auto"/>
                <w:sz w:val="18"/>
                <w:szCs w:val="18"/>
                <w:lang w:val="en-US" w:eastAsia="zh-CN"/>
              </w:rPr>
              <w:t>当临街建筑高于三层楼房以上（含三层）时，临街建筑面向湛江大道/湖光快线一侧至湛江大道/湖光快线边界线的区域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w:t>
            </w:r>
          </w:p>
        </w:tc>
        <w:tc>
          <w:tcPr>
            <w:tcW w:w="651"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00B050"/>
                <w:sz w:val="18"/>
                <w:szCs w:val="18"/>
                <w:lang w:val="en-US" w:eastAsia="zh-CN"/>
              </w:rPr>
              <w:t>港城路/顺达路</w:t>
            </w:r>
          </w:p>
        </w:tc>
        <w:tc>
          <w:tcPr>
            <w:tcW w:w="1062"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35m以内</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4a类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70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55</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当临街建筑低于三层楼房为主时，道路边界线35m以内的区域</w:t>
            </w:r>
          </w:p>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当临街建筑高于三层楼房以上（含三层）时，临街建筑面向道路一侧至道路边界线的区域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当临街建筑高于三层楼房以上（含三层）时，第一排建筑背向道路一侧及第二排起区域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651"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p>
        </w:tc>
        <w:tc>
          <w:tcPr>
            <w:tcW w:w="1062" w:type="dxa"/>
            <w:tcBorders>
              <w:top w:val="single" w:color="000000"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35m以外</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道路边界线35m外的区域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50"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w:t>
            </w:r>
          </w:p>
        </w:tc>
        <w:tc>
          <w:tcPr>
            <w:tcW w:w="651"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00B050"/>
                <w:sz w:val="18"/>
                <w:szCs w:val="18"/>
                <w:lang w:val="en-US" w:eastAsia="zh-CN"/>
              </w:rPr>
              <w:t>顺通路</w:t>
            </w:r>
          </w:p>
        </w:tc>
        <w:tc>
          <w:tcPr>
            <w:tcW w:w="1062" w:type="dxa"/>
            <w:tcBorders>
              <w:top w:val="single" w:color="auto" w:sz="4" w:space="0"/>
              <w:left w:val="single" w:color="000000" w:sz="4" w:space="0"/>
              <w:bottom w:val="single" w:color="auto"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w:t>
            </w:r>
          </w:p>
        </w:tc>
        <w:tc>
          <w:tcPr>
            <w:tcW w:w="6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2类</w:t>
            </w:r>
          </w:p>
        </w:tc>
        <w:tc>
          <w:tcPr>
            <w:tcW w:w="6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60</w:t>
            </w:r>
          </w:p>
        </w:tc>
        <w:tc>
          <w:tcPr>
            <w:tcW w:w="7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50</w:t>
            </w:r>
          </w:p>
        </w:tc>
        <w:tc>
          <w:tcPr>
            <w:tcW w:w="40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全部</w:t>
            </w:r>
          </w:p>
        </w:tc>
      </w:tr>
    </w:tbl>
    <w:p>
      <w:pPr>
        <w:keepNext w:val="0"/>
        <w:keepLines w:val="0"/>
        <w:pageBreakBefore w:val="0"/>
        <w:widowControl w:val="0"/>
        <w:kinsoku/>
        <w:wordWrap/>
        <w:overflowPunct/>
        <w:topLinePunct w:val="0"/>
        <w:bidi w:val="0"/>
        <w:snapToGrid/>
        <w:spacing w:line="560" w:lineRule="exact"/>
        <w:ind w:left="0" w:firstLine="420" w:firstLineChars="200"/>
        <w:jc w:val="both"/>
        <w:textAlignment w:val="auto"/>
        <w:rPr>
          <w:rFonts w:hint="eastAsia" w:ascii="仿宋_GB2312" w:hAnsi="仿宋_GB2312" w:eastAsia="仿宋_GB2312" w:cs="仿宋_GB2312"/>
          <w:sz w:val="32"/>
          <w:szCs w:val="32"/>
        </w:rPr>
      </w:pPr>
      <w:r>
        <w:rPr>
          <w:rFonts w:hint="default" w:ascii="Times New Roman" w:hAnsi="Times New Roman" w:cs="Times New Roman"/>
          <w:color w:val="auto"/>
          <w:kern w:val="0"/>
          <w:szCs w:val="21"/>
          <w:lang w:val="en-US" w:eastAsia="zh-CN"/>
        </w:rPr>
        <w:t>备注：*“60/55”表示“有列车经过/无列车经过时候的标准限值”</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19"/>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p>
    <w:p>
      <w:pPr>
        <w:pStyle w:val="19"/>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p>
    <w:p>
      <w:pPr>
        <w:pStyle w:val="19"/>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p>
    <w:p>
      <w:pPr>
        <w:pStyle w:val="19"/>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firstLine="5760" w:firstLineChars="18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2022年11月1日</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11"/>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9505094"/>
    <w:rsid w:val="09505094"/>
    <w:rsid w:val="4B054507"/>
    <w:rsid w:val="5B127989"/>
    <w:rsid w:val="5D9E417C"/>
    <w:rsid w:val="664B1C51"/>
    <w:rsid w:val="670F2F26"/>
    <w:rsid w:val="7E3F0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1"/>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caption"/>
    <w:basedOn w:val="1"/>
    <w:next w:val="1"/>
    <w:qFormat/>
    <w:uiPriority w:val="0"/>
    <w:rPr>
      <w:rFonts w:ascii="Calibri Light" w:hAnsi="Calibri Light" w:eastAsia="黑体" w:cs="Times New Roman"/>
      <w:sz w:val="20"/>
    </w:rPr>
  </w:style>
  <w:style w:type="paragraph" w:styleId="10">
    <w:name w:val="Body Text"/>
    <w:basedOn w:val="1"/>
    <w:qFormat/>
    <w:uiPriority w:val="0"/>
    <w:pPr>
      <w:spacing w:line="0" w:lineRule="atLeast"/>
    </w:pPr>
    <w:rPr>
      <w:rFonts w:eastAsia="小标宋"/>
      <w:sz w:val="44"/>
    </w:rPr>
  </w:style>
  <w:style w:type="paragraph" w:styleId="11">
    <w:name w:val="List Bullet 2"/>
    <w:basedOn w:val="1"/>
    <w:next w:val="12"/>
    <w:qFormat/>
    <w:uiPriority w:val="0"/>
    <w:pPr>
      <w:numPr>
        <w:ilvl w:val="0"/>
        <w:numId w:val="1"/>
      </w:numPr>
    </w:pPr>
  </w:style>
  <w:style w:type="paragraph" w:customStyle="1" w:styleId="12">
    <w:name w:val="xl70"/>
    <w:basedOn w:val="1"/>
    <w:next w:val="13"/>
    <w:qFormat/>
    <w:uiPriority w:val="0"/>
    <w:pPr>
      <w:widowControl/>
      <w:spacing w:before="280" w:after="280" w:line="240" w:lineRule="auto"/>
      <w:ind w:firstLine="0"/>
    </w:pPr>
    <w:rPr>
      <w:rFonts w:ascii="宋体" w:hAnsi="Times New Roman" w:eastAsia="宋体" w:cs="Times New Roman"/>
    </w:rPr>
  </w:style>
  <w:style w:type="paragraph" w:customStyle="1" w:styleId="13">
    <w:name w:val="正文缩进1"/>
    <w:basedOn w:val="1"/>
    <w:next w:val="14"/>
    <w:qFormat/>
    <w:uiPriority w:val="0"/>
    <w:pPr>
      <w:ind w:firstLine="420" w:firstLineChars="200"/>
    </w:pPr>
    <w:rPr>
      <w:rFonts w:ascii="Times New Roman" w:hAnsi="Times New Roman" w:eastAsia="宋体" w:cs="Times New Roman"/>
      <w:sz w:val="24"/>
      <w:szCs w:val="24"/>
    </w:rPr>
  </w:style>
  <w:style w:type="paragraph" w:customStyle="1" w:styleId="14">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5">
    <w:name w:val="toc 2"/>
    <w:basedOn w:val="1"/>
    <w:next w:val="4"/>
    <w:qFormat/>
    <w:uiPriority w:val="0"/>
    <w:pPr>
      <w:ind w:left="210"/>
      <w:jc w:val="left"/>
    </w:pPr>
    <w:rPr>
      <w:rFonts w:ascii="Calibri" w:hAnsi="Calibri" w:eastAsia="宋体" w:cs="Calibri"/>
      <w:smallCaps/>
      <w:sz w:val="20"/>
    </w:rPr>
  </w:style>
  <w:style w:type="character" w:styleId="18">
    <w:name w:val="annotation reference"/>
    <w:semiHidden/>
    <w:qFormat/>
    <w:uiPriority w:val="0"/>
    <w:rPr>
      <w:sz w:val="21"/>
    </w:rPr>
  </w:style>
  <w:style w:type="paragraph" w:customStyle="1" w:styleId="19">
    <w:name w:val="Default"/>
    <w:basedOn w:val="20"/>
    <w:next w:val="8"/>
    <w:qFormat/>
    <w:uiPriority w:val="0"/>
    <w:pPr>
      <w:autoSpaceDE w:val="0"/>
      <w:autoSpaceDN w:val="0"/>
    </w:pPr>
    <w:rPr>
      <w:rFonts w:hAnsi="Times New Roman" w:eastAsia="宋体" w:cs="宋体"/>
      <w:color w:val="000000"/>
      <w:sz w:val="24"/>
      <w:szCs w:val="24"/>
    </w:rPr>
  </w:style>
  <w:style w:type="paragraph" w:customStyle="1" w:styleId="20">
    <w:name w:val="纯文本1"/>
    <w:basedOn w:val="1"/>
    <w:next w:val="2"/>
    <w:qFormat/>
    <w:uiPriority w:val="0"/>
    <w:pPr>
      <w:adjustRightInd w:val="0"/>
    </w:pPr>
    <w:rPr>
      <w:rFonts w:ascii="宋体" w:hAnsi="Courier New"/>
      <w:szCs w:val="20"/>
    </w:rPr>
  </w:style>
  <w:style w:type="paragraph" w:customStyle="1" w:styleId="21">
    <w:name w:val="文本"/>
    <w:basedOn w:val="1"/>
    <w:next w:val="1"/>
    <w:qFormat/>
    <w:uiPriority w:val="0"/>
    <w:pPr>
      <w:autoSpaceDE w:val="0"/>
      <w:autoSpaceDN w:val="0"/>
      <w:ind w:firstLine="480"/>
    </w:pPr>
    <w:rPr>
      <w:lang w:val="zh-CN"/>
    </w:rPr>
  </w:style>
  <w:style w:type="paragraph" w:customStyle="1" w:styleId="22">
    <w:name w:val="样式35"/>
    <w:basedOn w:val="23"/>
    <w:next w:val="24"/>
    <w:qFormat/>
    <w:uiPriority w:val="0"/>
    <w:pPr>
      <w:spacing w:line="312" w:lineRule="auto"/>
      <w:ind w:firstLine="567"/>
    </w:pPr>
    <w:rPr>
      <w:rFonts w:ascii="宋体" w:hAnsi="Times New Roman" w:eastAsia="宋体" w:cs="Times New Roman"/>
      <w:sz w:val="28"/>
    </w:rPr>
  </w:style>
  <w:style w:type="paragraph" w:customStyle="1" w:styleId="23">
    <w:name w:val="表 内容"/>
    <w:basedOn w:val="1"/>
    <w:qFormat/>
    <w:uiPriority w:val="0"/>
    <w:pPr>
      <w:adjustRightInd w:val="0"/>
      <w:snapToGrid w:val="0"/>
      <w:spacing w:beforeLines="15" w:afterLines="15"/>
      <w:jc w:val="center"/>
    </w:pPr>
    <w:rPr>
      <w:sz w:val="21"/>
      <w:szCs w:val="21"/>
    </w:rPr>
  </w:style>
  <w:style w:type="paragraph" w:customStyle="1" w:styleId="24">
    <w:name w:val="font6"/>
    <w:basedOn w:val="1"/>
    <w:next w:val="15"/>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5">
    <w:name w:val="表格内文字"/>
    <w:qFormat/>
    <w:uiPriority w:val="0"/>
    <w:pPr>
      <w:tabs>
        <w:tab w:val="left" w:pos="90"/>
      </w:tabs>
      <w:jc w:val="center"/>
    </w:pPr>
    <w:rPr>
      <w:rFonts w:ascii="Times New Roman" w:hAnsi="Times New Roman" w:eastAsia="宋体" w:cs="宋体"/>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3008</Words>
  <Characters>3447</Characters>
  <Lines>0</Lines>
  <Paragraphs>0</Paragraphs>
  <TotalTime>8</TotalTime>
  <ScaleCrop>false</ScaleCrop>
  <LinksUpToDate>false</LinksUpToDate>
  <CharactersWithSpaces>3463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孙不鸦</cp:lastModifiedBy>
  <dcterms:modified xsi:type="dcterms:W3CDTF">2022-11-01T03:45:01Z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BB3408D250114C66822E8BEC96C76DF2</vt:lpwstr>
  </property>
</Properties>
</file>