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21</w:t>
      </w:r>
      <w:r>
        <w:rPr>
          <w:rFonts w:hint="eastAsia" w:ascii="仿宋_GB2312" w:eastAsia="仿宋_GB2312"/>
          <w:sz w:val="32"/>
          <w:szCs w:val="32"/>
        </w:rPr>
        <w:t>号</w:t>
      </w:r>
    </w:p>
    <w:p>
      <w:pPr>
        <w:pStyle w:val="14"/>
        <w:wordWrap/>
        <w:rPr>
          <w:rFonts w:hint="eastAsia"/>
          <w:sz w:val="15"/>
          <w:szCs w:val="15"/>
        </w:rPr>
      </w:pPr>
    </w:p>
    <w:p>
      <w:pPr>
        <w:spacing w:line="52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湛江市湛鹿酒业有限公司建设项目</w:t>
      </w: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湛江市湛鹿酒业有限公司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w:t>
      </w:r>
      <w:r>
        <w:rPr>
          <w:rFonts w:hint="eastAsia" w:ascii="仿宋_GB2312" w:hAnsi="仿宋_GB2312" w:eastAsia="仿宋_GB2312" w:cs="仿宋_GB2312"/>
          <w:sz w:val="32"/>
          <w:szCs w:val="32"/>
          <w:lang w:eastAsia="zh-CN"/>
        </w:rPr>
        <w:t>湛江市湛鹿酒业有限公司建设项目</w:t>
      </w:r>
      <w:r>
        <w:rPr>
          <w:rFonts w:hint="eastAsia" w:ascii="仿宋_GB2312" w:hAnsi="仿宋_GB2312" w:eastAsia="仿宋_GB2312" w:cs="仿宋_GB2312"/>
          <w:sz w:val="32"/>
          <w:szCs w:val="32"/>
        </w:rPr>
        <w:t>环境影响报告表》（以下简称“报告表”）等材料收悉。经研究，批复如下：</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项目位于</w:t>
      </w:r>
      <w:r>
        <w:rPr>
          <w:rFonts w:hint="eastAsia" w:ascii="仿宋_GB2312" w:hAnsi="仿宋_GB2312" w:eastAsia="仿宋_GB2312" w:cs="仿宋_GB2312"/>
          <w:sz w:val="32"/>
          <w:szCs w:val="32"/>
          <w:lang w:val="en-US" w:eastAsia="zh-CN"/>
        </w:rPr>
        <w:t>湛江市霞山区华港路6号霞山区华港小区内，属于新建项目，</w:t>
      </w:r>
      <w:r>
        <w:rPr>
          <w:rFonts w:hint="default" w:ascii="仿宋_GB2312" w:hAnsi="仿宋_GB2312" w:eastAsia="仿宋_GB2312" w:cs="仿宋_GB2312"/>
          <w:sz w:val="32"/>
          <w:szCs w:val="32"/>
          <w:lang w:val="en-US" w:eastAsia="zh-CN"/>
        </w:rPr>
        <w:t>项目建成后</w:t>
      </w:r>
      <w:r>
        <w:rPr>
          <w:rFonts w:hint="eastAsia" w:ascii="仿宋_GB2312" w:hAnsi="仿宋_GB2312" w:eastAsia="仿宋_GB2312" w:cs="仿宋_GB2312"/>
          <w:sz w:val="32"/>
          <w:szCs w:val="32"/>
          <w:lang w:val="en-US" w:eastAsia="zh-CN"/>
        </w:rPr>
        <w:t>年产啤酒800千升</w:t>
      </w:r>
      <w:r>
        <w:rPr>
          <w:rFonts w:hint="default" w:ascii="仿宋_GB2312" w:hAnsi="仿宋_GB2312" w:eastAsia="仿宋_GB2312" w:cs="仿宋_GB2312"/>
          <w:sz w:val="32"/>
          <w:szCs w:val="32"/>
          <w:lang w:val="en-US" w:eastAsia="zh-CN"/>
        </w:rPr>
        <w:t>。项</w:t>
      </w:r>
      <w:r>
        <w:rPr>
          <w:rFonts w:hint="eastAsia" w:ascii="仿宋_GB2312" w:hAnsi="仿宋_GB2312" w:eastAsia="仿宋_GB2312" w:cs="仿宋_GB2312"/>
          <w:sz w:val="32"/>
          <w:szCs w:val="32"/>
          <w:lang w:val="en-US" w:eastAsia="zh-CN"/>
        </w:rPr>
        <w:t>目</w:t>
      </w:r>
      <w:r>
        <w:rPr>
          <w:rFonts w:hint="default" w:ascii="仿宋_GB2312" w:hAnsi="仿宋_GB2312" w:eastAsia="仿宋_GB2312" w:cs="仿宋_GB2312"/>
          <w:sz w:val="32"/>
          <w:szCs w:val="32"/>
          <w:lang w:val="en-US" w:eastAsia="zh-CN"/>
        </w:rPr>
        <w:t>主要建设内容为</w:t>
      </w:r>
      <w:r>
        <w:rPr>
          <w:rFonts w:hint="eastAsia" w:ascii="仿宋_GB2312" w:hAnsi="仿宋_GB2312" w:eastAsia="仿宋_GB2312" w:cs="仿宋_GB2312"/>
          <w:sz w:val="32"/>
          <w:szCs w:val="32"/>
          <w:lang w:val="en-US" w:eastAsia="zh-CN"/>
        </w:rPr>
        <w:t>原料处理糖化间、酿造车间、包装车间、动力间、办公区</w:t>
      </w:r>
      <w:r>
        <w:rPr>
          <w:rFonts w:hint="default" w:ascii="仿宋_GB2312" w:hAnsi="仿宋_GB2312" w:eastAsia="仿宋_GB2312" w:cs="仿宋_GB2312"/>
          <w:sz w:val="32"/>
          <w:szCs w:val="32"/>
          <w:lang w:val="en-US" w:eastAsia="zh-CN"/>
        </w:rPr>
        <w:t>及其他附属配套设施，</w:t>
      </w:r>
      <w:r>
        <w:rPr>
          <w:rFonts w:hint="eastAsia" w:ascii="仿宋_GB2312" w:hAnsi="仿宋_GB2312" w:eastAsia="仿宋_GB2312" w:cs="仿宋_GB2312"/>
          <w:sz w:val="32"/>
          <w:szCs w:val="32"/>
          <w:lang w:val="en-US" w:eastAsia="zh-CN"/>
        </w:rPr>
        <w:t>主要生产工艺为：投料→粉碎→糖化→麦汁过滤→煮沸→沉淀→冷却→发酵→灌装。项目</w:t>
      </w:r>
      <w:r>
        <w:rPr>
          <w:rFonts w:hint="default" w:ascii="仿宋_GB2312" w:hAnsi="仿宋_GB2312" w:eastAsia="仿宋_GB2312" w:cs="仿宋_GB2312"/>
          <w:sz w:val="32"/>
          <w:szCs w:val="32"/>
          <w:lang w:val="en-US" w:eastAsia="zh-CN"/>
        </w:rPr>
        <w:t>占地面积</w:t>
      </w:r>
      <w:r>
        <w:rPr>
          <w:rFonts w:hint="eastAsia" w:ascii="仿宋_GB2312" w:hAnsi="仿宋_GB2312" w:eastAsia="仿宋_GB2312" w:cs="仿宋_GB2312"/>
          <w:sz w:val="32"/>
          <w:szCs w:val="32"/>
          <w:lang w:val="en-US" w:eastAsia="zh-CN"/>
        </w:rPr>
        <w:t>为1900</w:t>
      </w:r>
      <w:r>
        <w:rPr>
          <w:color w:val="auto"/>
          <w:sz w:val="32"/>
          <w:szCs w:val="32"/>
          <w:lang w:val="zh-CN"/>
        </w:rPr>
        <w:t>m</w:t>
      </w:r>
      <w:r>
        <w:rPr>
          <w:color w:val="auto"/>
          <w:sz w:val="32"/>
          <w:szCs w:val="32"/>
          <w:vertAlign w:val="superscript"/>
          <w:lang w:val="zh-CN"/>
        </w:rPr>
        <w:t>2</w:t>
      </w:r>
      <w:r>
        <w:rPr>
          <w:rFonts w:hint="default" w:ascii="仿宋_GB2312" w:hAnsi="仿宋_GB2312" w:eastAsia="仿宋_GB2312" w:cs="仿宋_GB2312"/>
          <w:sz w:val="32"/>
          <w:szCs w:val="32"/>
          <w:lang w:val="en-US" w:eastAsia="zh-CN"/>
        </w:rPr>
        <w:t>，建筑面积</w:t>
      </w:r>
      <w:r>
        <w:rPr>
          <w:rFonts w:hint="eastAsia" w:ascii="仿宋_GB2312" w:hAnsi="仿宋_GB2312" w:eastAsia="仿宋_GB2312" w:cs="仿宋_GB2312"/>
          <w:sz w:val="32"/>
          <w:szCs w:val="32"/>
          <w:lang w:val="en-US" w:eastAsia="zh-CN"/>
        </w:rPr>
        <w:t>为1000</w:t>
      </w:r>
      <w:r>
        <w:rPr>
          <w:color w:val="auto"/>
          <w:sz w:val="32"/>
          <w:szCs w:val="32"/>
          <w:lang w:val="zh-CN"/>
        </w:rPr>
        <w:t>m</w:t>
      </w:r>
      <w:r>
        <w:rPr>
          <w:color w:val="auto"/>
          <w:sz w:val="32"/>
          <w:szCs w:val="32"/>
          <w:vertAlign w:val="superscript"/>
          <w:lang w:val="zh-CN"/>
        </w:rPr>
        <w:t>2</w:t>
      </w:r>
      <w:r>
        <w:rPr>
          <w:rFonts w:hint="default" w:ascii="仿宋_GB2312" w:hAnsi="仿宋_GB2312" w:eastAsia="仿宋_GB2312" w:cs="仿宋_GB2312"/>
          <w:sz w:val="32"/>
          <w:szCs w:val="32"/>
          <w:lang w:val="en-US" w:eastAsia="zh-CN"/>
        </w:rPr>
        <w:t>，总投资</w:t>
      </w:r>
      <w:r>
        <w:rPr>
          <w:rFonts w:hint="eastAsia" w:ascii="仿宋_GB2312" w:hAnsi="仿宋_GB2312" w:eastAsia="仿宋_GB2312" w:cs="仿宋_GB2312"/>
          <w:sz w:val="32"/>
          <w:szCs w:val="32"/>
          <w:lang w:val="en-US" w:eastAsia="zh-CN"/>
        </w:rPr>
        <w:t>12</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万元，其中环保投资</w:t>
      </w:r>
      <w:r>
        <w:rPr>
          <w:rFonts w:hint="eastAsia" w:ascii="仿宋_GB2312" w:hAnsi="仿宋_GB2312" w:eastAsia="仿宋_GB2312" w:cs="仿宋_GB2312"/>
          <w:sz w:val="32"/>
          <w:szCs w:val="32"/>
          <w:lang w:val="en-US" w:eastAsia="zh-CN"/>
        </w:rPr>
        <w:t>15</w:t>
      </w:r>
      <w:r>
        <w:rPr>
          <w:rFonts w:hint="default" w:ascii="仿宋_GB2312" w:hAnsi="仿宋_GB2312" w:eastAsia="仿宋_GB2312" w:cs="仿宋_GB2312"/>
          <w:sz w:val="32"/>
          <w:szCs w:val="32"/>
          <w:lang w:val="en-US" w:eastAsia="zh-CN"/>
        </w:rPr>
        <w:t>万元。项目主要建设内容</w:t>
      </w:r>
      <w:r>
        <w:rPr>
          <w:rFonts w:hint="eastAsia" w:ascii="仿宋_GB2312" w:hAnsi="仿宋_GB2312" w:eastAsia="仿宋_GB2312" w:cs="仿宋_GB2312"/>
          <w:sz w:val="32"/>
          <w:szCs w:val="32"/>
          <w:lang w:val="en-US" w:eastAsia="zh-CN"/>
        </w:rPr>
        <w:t>及规模</w:t>
      </w:r>
      <w:r>
        <w:rPr>
          <w:rFonts w:hint="default" w:ascii="仿宋_GB2312" w:hAnsi="仿宋_GB2312" w:eastAsia="仿宋_GB2312" w:cs="仿宋_GB2312"/>
          <w:sz w:val="32"/>
          <w:szCs w:val="32"/>
          <w:lang w:val="en-US" w:eastAsia="zh-CN"/>
        </w:rPr>
        <w:t>见</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REF _Ref1741030331 \h </w:instrText>
      </w:r>
      <w:r>
        <w:rPr>
          <w:rFonts w:hint="default" w:ascii="仿宋_GB2312" w:hAnsi="仿宋_GB2312" w:eastAsia="仿宋_GB2312" w:cs="仿宋_GB2312"/>
          <w:sz w:val="32"/>
          <w:szCs w:val="32"/>
          <w:lang w:val="en-US" w:eastAsia="zh-CN"/>
        </w:rPr>
        <w:fldChar w:fldCharType="separate"/>
      </w:r>
      <w:r>
        <w:rPr>
          <w:rFonts w:hint="default" w:ascii="仿宋_GB2312" w:hAnsi="仿宋_GB2312" w:eastAsia="仿宋_GB2312" w:cs="仿宋_GB2312"/>
          <w:sz w:val="32"/>
          <w:szCs w:val="32"/>
          <w:lang w:val="en-US" w:eastAsia="zh-CN"/>
        </w:rPr>
        <w:t>表1</w:t>
      </w:r>
      <w:r>
        <w:rPr>
          <w:rFonts w:hint="default" w:ascii="仿宋_GB2312" w:hAnsi="仿宋_GB2312" w:eastAsia="仿宋_GB2312" w:cs="仿宋_GB2312"/>
          <w:sz w:val="32"/>
          <w:szCs w:val="32"/>
          <w:lang w:val="en-US" w:eastAsia="zh-CN"/>
        </w:rPr>
        <w:fldChar w:fldCharType="end"/>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b/>
          <w:bCs/>
          <w:color w:val="auto"/>
          <w:sz w:val="24"/>
        </w:rPr>
      </w:pPr>
      <w:r>
        <w:rPr>
          <w:b/>
          <w:bCs/>
          <w:color w:val="auto"/>
          <w:sz w:val="24"/>
        </w:rPr>
        <w:t>表</w:t>
      </w:r>
      <w:r>
        <w:rPr>
          <w:rFonts w:hint="eastAsia"/>
          <w:b/>
          <w:bCs/>
          <w:color w:val="auto"/>
          <w:sz w:val="24"/>
          <w:lang w:val="en-US" w:eastAsia="zh-CN"/>
        </w:rPr>
        <w:t>1</w:t>
      </w:r>
      <w:r>
        <w:rPr>
          <w:b/>
          <w:bCs/>
          <w:color w:val="auto"/>
          <w:sz w:val="24"/>
        </w:rPr>
        <w:t xml:space="preserve">  项目主要建设内容及规模</w:t>
      </w:r>
    </w:p>
    <w:tbl>
      <w:tblPr>
        <w:tblStyle w:val="16"/>
        <w:tblW w:w="85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425"/>
        <w:gridCol w:w="1113"/>
        <w:gridCol w:w="2012"/>
        <w:gridCol w:w="4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42" w:hRule="atLeast"/>
        </w:trPr>
        <w:tc>
          <w:tcPr>
            <w:tcW w:w="692" w:type="dxa"/>
            <w:tcBorders>
              <w:tl2br w:val="nil"/>
              <w:tr2bl w:val="nil"/>
            </w:tcBorders>
            <w:noWrap w:val="0"/>
            <w:vAlign w:val="center"/>
          </w:tcPr>
          <w:p>
            <w:pPr>
              <w:adjustRightInd w:val="0"/>
              <w:snapToGrid w:val="0"/>
              <w:jc w:val="center"/>
              <w:rPr>
                <w:b/>
                <w:bCs/>
                <w:color w:val="auto"/>
                <w:szCs w:val="21"/>
              </w:rPr>
            </w:pPr>
            <w:r>
              <w:rPr>
                <w:b/>
                <w:bCs/>
                <w:color w:val="auto"/>
                <w:szCs w:val="21"/>
              </w:rPr>
              <w:t>类别</w:t>
            </w:r>
          </w:p>
        </w:tc>
        <w:tc>
          <w:tcPr>
            <w:tcW w:w="1538" w:type="dxa"/>
            <w:gridSpan w:val="2"/>
            <w:tcBorders>
              <w:tl2br w:val="nil"/>
              <w:tr2bl w:val="nil"/>
            </w:tcBorders>
            <w:noWrap w:val="0"/>
            <w:vAlign w:val="center"/>
          </w:tcPr>
          <w:p>
            <w:pPr>
              <w:adjustRightInd w:val="0"/>
              <w:snapToGrid w:val="0"/>
              <w:jc w:val="center"/>
              <w:rPr>
                <w:b/>
                <w:bCs/>
                <w:color w:val="auto"/>
                <w:szCs w:val="21"/>
              </w:rPr>
            </w:pPr>
            <w:r>
              <w:rPr>
                <w:b/>
                <w:bCs/>
                <w:color w:val="auto"/>
                <w:szCs w:val="21"/>
              </w:rPr>
              <w:t>内容</w:t>
            </w:r>
          </w:p>
        </w:tc>
        <w:tc>
          <w:tcPr>
            <w:tcW w:w="2012" w:type="dxa"/>
            <w:tcBorders>
              <w:tl2br w:val="nil"/>
              <w:tr2bl w:val="nil"/>
            </w:tcBorders>
            <w:noWrap w:val="0"/>
            <w:vAlign w:val="center"/>
          </w:tcPr>
          <w:p>
            <w:pPr>
              <w:adjustRightInd w:val="0"/>
              <w:snapToGrid w:val="0"/>
              <w:jc w:val="center"/>
              <w:rPr>
                <w:b/>
                <w:bCs/>
                <w:color w:val="auto"/>
                <w:szCs w:val="21"/>
              </w:rPr>
            </w:pPr>
            <w:r>
              <w:rPr>
                <w:b/>
                <w:bCs/>
                <w:color w:val="auto"/>
                <w:szCs w:val="21"/>
              </w:rPr>
              <w:t>功能</w:t>
            </w:r>
          </w:p>
        </w:tc>
        <w:tc>
          <w:tcPr>
            <w:tcW w:w="4295" w:type="dxa"/>
            <w:tcBorders>
              <w:tl2br w:val="nil"/>
              <w:tr2bl w:val="nil"/>
            </w:tcBorders>
            <w:noWrap w:val="0"/>
            <w:vAlign w:val="center"/>
          </w:tcPr>
          <w:p>
            <w:pPr>
              <w:adjustRightInd w:val="0"/>
              <w:snapToGrid w:val="0"/>
              <w:jc w:val="center"/>
              <w:rPr>
                <w:b/>
                <w:bCs/>
                <w:color w:val="auto"/>
                <w:szCs w:val="21"/>
              </w:rPr>
            </w:pPr>
            <w:r>
              <w:rPr>
                <w:b/>
                <w:bCs/>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0" w:hRule="atLeast"/>
        </w:trPr>
        <w:tc>
          <w:tcPr>
            <w:tcW w:w="692" w:type="dxa"/>
            <w:vMerge w:val="restart"/>
            <w:tcBorders>
              <w:tl2br w:val="nil"/>
              <w:tr2bl w:val="nil"/>
            </w:tcBorders>
            <w:noWrap w:val="0"/>
            <w:vAlign w:val="center"/>
          </w:tcPr>
          <w:p>
            <w:pPr>
              <w:adjustRightInd w:val="0"/>
              <w:snapToGrid w:val="0"/>
              <w:jc w:val="center"/>
              <w:rPr>
                <w:b/>
                <w:bCs/>
                <w:color w:val="auto"/>
                <w:szCs w:val="21"/>
              </w:rPr>
            </w:pPr>
            <w:r>
              <w:rPr>
                <w:b/>
                <w:bCs/>
                <w:color w:val="auto"/>
                <w:szCs w:val="21"/>
              </w:rPr>
              <w:t>主体工程</w:t>
            </w:r>
          </w:p>
        </w:tc>
        <w:tc>
          <w:tcPr>
            <w:tcW w:w="1538" w:type="dxa"/>
            <w:gridSpan w:val="2"/>
            <w:tcBorders>
              <w:tl2br w:val="nil"/>
              <w:tr2bl w:val="nil"/>
            </w:tcBorders>
            <w:noWrap w:val="0"/>
            <w:vAlign w:val="center"/>
          </w:tcPr>
          <w:p>
            <w:pPr>
              <w:adjustRightInd w:val="0"/>
              <w:snapToGrid w:val="0"/>
              <w:jc w:val="center"/>
              <w:rPr>
                <w:color w:val="auto"/>
                <w:szCs w:val="21"/>
              </w:rPr>
            </w:pPr>
            <w:r>
              <w:rPr>
                <w:rFonts w:hint="eastAsia"/>
                <w:bCs/>
                <w:color w:val="auto"/>
                <w:szCs w:val="21"/>
              </w:rPr>
              <w:t>原料处理糖化间</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rPr>
              <w:t>主要为原料糖化区域，包含麦芽库、麦芽粉碎间、糖化间</w:t>
            </w:r>
          </w:p>
        </w:tc>
        <w:tc>
          <w:tcPr>
            <w:tcW w:w="4295" w:type="dxa"/>
            <w:tcBorders>
              <w:tl2br w:val="nil"/>
              <w:tr2bl w:val="nil"/>
            </w:tcBorders>
            <w:noWrap w:val="0"/>
            <w:vAlign w:val="center"/>
          </w:tcPr>
          <w:p>
            <w:pPr>
              <w:widowControl/>
              <w:jc w:val="center"/>
              <w:textAlignment w:val="bottom"/>
              <w:rPr>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占地面积12</w:t>
            </w:r>
            <w:r>
              <w:rPr>
                <w:rFonts w:hint="eastAsia"/>
                <w:bCs/>
                <w:color w:val="auto"/>
                <w:szCs w:val="21"/>
                <w:lang w:val="en-US" w:eastAsia="zh-CN"/>
              </w:rPr>
              <w:t>0</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bidi="ar"/>
              </w:rPr>
              <w:t>12</w:t>
            </w:r>
            <w:r>
              <w:rPr>
                <w:rFonts w:hint="eastAsia"/>
                <w:color w:val="auto"/>
                <w:kern w:val="0"/>
                <w:szCs w:val="21"/>
                <w:lang w:val="en-US" w:eastAsia="zh-CN" w:bidi="ar"/>
              </w:rPr>
              <w:t>0</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1层，其中麦芽库建筑面积</w:t>
            </w:r>
            <w:r>
              <w:rPr>
                <w:rFonts w:hint="eastAsia"/>
                <w:color w:val="auto"/>
                <w:kern w:val="0"/>
                <w:szCs w:val="21"/>
                <w:lang w:bidi="ar"/>
              </w:rPr>
              <w:t>3</w:t>
            </w:r>
            <w:r>
              <w:rPr>
                <w:rFonts w:hint="eastAsia"/>
                <w:color w:val="auto"/>
                <w:kern w:val="0"/>
                <w:szCs w:val="21"/>
                <w:lang w:val="en-US" w:eastAsia="zh-CN" w:bidi="ar"/>
              </w:rPr>
              <w:t>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麦芽粉碎间</w:t>
            </w:r>
            <w:r>
              <w:rPr>
                <w:rFonts w:hint="eastAsia"/>
                <w:color w:val="auto"/>
                <w:kern w:val="0"/>
                <w:szCs w:val="21"/>
                <w:lang w:bidi="ar"/>
              </w:rPr>
              <w:t>10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糖化间</w:t>
            </w:r>
            <w:r>
              <w:rPr>
                <w:rFonts w:hint="eastAsia"/>
                <w:color w:val="auto"/>
                <w:kern w:val="0"/>
                <w:szCs w:val="21"/>
                <w:lang w:bidi="ar"/>
              </w:rPr>
              <w:t>80</w:t>
            </w:r>
            <w:r>
              <w:rPr>
                <w:color w:val="auto"/>
                <w:szCs w:val="21"/>
                <w:lang w:val="zh-CN"/>
              </w:rPr>
              <w:t>m</w:t>
            </w:r>
            <w:r>
              <w:rPr>
                <w:color w:val="auto"/>
                <w:szCs w:val="21"/>
                <w:vertAlign w:val="superscript"/>
                <w:lang w:val="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90"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rFonts w:hint="eastAsia"/>
                <w:bCs/>
                <w:color w:val="auto"/>
                <w:szCs w:val="21"/>
              </w:rPr>
            </w:pPr>
            <w:r>
              <w:rPr>
                <w:rFonts w:hint="eastAsia"/>
                <w:bCs/>
                <w:color w:val="auto"/>
                <w:szCs w:val="21"/>
              </w:rPr>
              <w:t>酿造车间</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rPr>
              <w:t>主要为发酵区域，包</w:t>
            </w:r>
            <w:r>
              <w:rPr>
                <w:rFonts w:hint="eastAsia"/>
                <w:color w:val="auto"/>
                <w:szCs w:val="21"/>
                <w:lang w:val="en-US" w:eastAsia="zh-CN"/>
              </w:rPr>
              <w:t>含</w:t>
            </w:r>
            <w:r>
              <w:rPr>
                <w:rFonts w:hint="eastAsia"/>
                <w:color w:val="auto"/>
                <w:szCs w:val="21"/>
              </w:rPr>
              <w:t>发酵与啤酒处理车间以及公用工程间</w:t>
            </w:r>
          </w:p>
        </w:tc>
        <w:tc>
          <w:tcPr>
            <w:tcW w:w="4295" w:type="dxa"/>
            <w:tcBorders>
              <w:tl2br w:val="nil"/>
              <w:tr2bl w:val="nil"/>
            </w:tcBorders>
            <w:noWrap w:val="0"/>
            <w:vAlign w:val="center"/>
          </w:tcPr>
          <w:p>
            <w:pPr>
              <w:widowControl/>
              <w:jc w:val="center"/>
              <w:textAlignment w:val="bottom"/>
              <w:rPr>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占地面积2</w:t>
            </w:r>
            <w:r>
              <w:rPr>
                <w:rFonts w:hint="eastAsia"/>
                <w:bCs/>
                <w:color w:val="auto"/>
                <w:szCs w:val="21"/>
                <w:lang w:val="en-US" w:eastAsia="zh-CN"/>
              </w:rPr>
              <w:t>4</w:t>
            </w:r>
            <w:r>
              <w:rPr>
                <w:rFonts w:hint="eastAsia"/>
                <w:bCs/>
                <w:color w:val="auto"/>
                <w:szCs w:val="21"/>
              </w:rPr>
              <w:t>0</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bidi="ar"/>
              </w:rPr>
              <w:t>2</w:t>
            </w:r>
            <w:r>
              <w:rPr>
                <w:rFonts w:hint="eastAsia"/>
                <w:color w:val="auto"/>
                <w:kern w:val="0"/>
                <w:szCs w:val="21"/>
                <w:lang w:val="en-US" w:eastAsia="zh-CN" w:bidi="ar"/>
              </w:rPr>
              <w:t>4</w:t>
            </w:r>
            <w:r>
              <w:rPr>
                <w:rFonts w:hint="eastAsia"/>
                <w:color w:val="auto"/>
                <w:kern w:val="0"/>
                <w:szCs w:val="21"/>
                <w:lang w:bidi="ar"/>
              </w:rPr>
              <w:t>0</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1层，其中发酵与啤酒处理车间</w:t>
            </w:r>
            <w:r>
              <w:rPr>
                <w:rFonts w:hint="eastAsia"/>
                <w:color w:val="auto"/>
                <w:kern w:val="0"/>
                <w:szCs w:val="21"/>
                <w:lang w:bidi="ar"/>
              </w:rPr>
              <w:t>2</w:t>
            </w:r>
            <w:r>
              <w:rPr>
                <w:rFonts w:hint="eastAsia"/>
                <w:color w:val="auto"/>
                <w:kern w:val="0"/>
                <w:szCs w:val="21"/>
                <w:lang w:val="en-US" w:eastAsia="zh-CN" w:bidi="ar"/>
              </w:rPr>
              <w:t>2</w:t>
            </w:r>
            <w:r>
              <w:rPr>
                <w:rFonts w:hint="eastAsia"/>
                <w:color w:val="auto"/>
                <w:kern w:val="0"/>
                <w:szCs w:val="21"/>
                <w:lang w:bidi="ar"/>
              </w:rPr>
              <w:t>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公用工程间</w:t>
            </w:r>
            <w:r>
              <w:rPr>
                <w:rFonts w:hint="eastAsia"/>
                <w:color w:val="auto"/>
                <w:kern w:val="0"/>
                <w:szCs w:val="21"/>
                <w:lang w:val="en-US" w:eastAsia="zh-CN" w:bidi="ar"/>
              </w:rPr>
              <w:t>3</w:t>
            </w:r>
            <w:r>
              <w:rPr>
                <w:rFonts w:hint="eastAsia"/>
                <w:color w:val="auto"/>
                <w:kern w:val="0"/>
                <w:szCs w:val="21"/>
                <w:lang w:bidi="ar"/>
              </w:rPr>
              <w:t>0</w:t>
            </w:r>
            <w:r>
              <w:rPr>
                <w:color w:val="auto"/>
                <w:szCs w:val="21"/>
                <w:lang w:val="zh-CN"/>
              </w:rPr>
              <w:t>m</w:t>
            </w:r>
            <w:r>
              <w:rPr>
                <w:color w:val="auto"/>
                <w:szCs w:val="21"/>
                <w:vertAlign w:val="superscript"/>
                <w:lang w:val="zh-CN"/>
              </w:rPr>
              <w:t>2</w:t>
            </w:r>
            <w:r>
              <w:rPr>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restart"/>
            <w:tcBorders>
              <w:tl2br w:val="nil"/>
              <w:tr2bl w:val="nil"/>
            </w:tcBorders>
            <w:noWrap w:val="0"/>
            <w:vAlign w:val="center"/>
          </w:tcPr>
          <w:p>
            <w:pPr>
              <w:adjustRightInd w:val="0"/>
              <w:snapToGrid w:val="0"/>
              <w:jc w:val="center"/>
              <w:rPr>
                <w:b/>
                <w:bCs/>
                <w:color w:val="auto"/>
                <w:szCs w:val="21"/>
              </w:rPr>
            </w:pPr>
            <w:r>
              <w:rPr>
                <w:b/>
                <w:bCs/>
                <w:color w:val="auto"/>
                <w:szCs w:val="21"/>
              </w:rPr>
              <w:t>辅助工程</w:t>
            </w:r>
          </w:p>
        </w:tc>
        <w:tc>
          <w:tcPr>
            <w:tcW w:w="1538" w:type="dxa"/>
            <w:gridSpan w:val="2"/>
            <w:tcBorders>
              <w:tl2br w:val="nil"/>
              <w:tr2bl w:val="nil"/>
            </w:tcBorders>
            <w:noWrap w:val="0"/>
            <w:vAlign w:val="center"/>
          </w:tcPr>
          <w:p>
            <w:pPr>
              <w:adjustRightInd w:val="0"/>
              <w:snapToGrid w:val="0"/>
              <w:jc w:val="center"/>
              <w:rPr>
                <w:rFonts w:hint="eastAsia"/>
                <w:color w:val="auto"/>
                <w:szCs w:val="21"/>
              </w:rPr>
            </w:pPr>
            <w:r>
              <w:rPr>
                <w:rFonts w:hint="eastAsia"/>
                <w:bCs/>
                <w:color w:val="auto"/>
                <w:szCs w:val="21"/>
              </w:rPr>
              <w:t>动力间</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lang w:val="en-US" w:eastAsia="zh-CN"/>
              </w:rPr>
              <w:t>包含</w:t>
            </w:r>
            <w:r>
              <w:rPr>
                <w:rFonts w:hint="eastAsia"/>
                <w:color w:val="auto"/>
                <w:szCs w:val="21"/>
              </w:rPr>
              <w:t>蒸汽间、CO</w:t>
            </w:r>
            <w:r>
              <w:rPr>
                <w:rFonts w:hint="eastAsia"/>
                <w:color w:val="auto"/>
                <w:szCs w:val="21"/>
                <w:vertAlign w:val="subscript"/>
              </w:rPr>
              <w:t>2</w:t>
            </w:r>
            <w:r>
              <w:rPr>
                <w:rFonts w:hint="eastAsia"/>
                <w:color w:val="auto"/>
                <w:szCs w:val="21"/>
              </w:rPr>
              <w:t>气瓶区域、水处理机组以及制冷机组</w:t>
            </w:r>
          </w:p>
        </w:tc>
        <w:tc>
          <w:tcPr>
            <w:tcW w:w="4295" w:type="dxa"/>
            <w:tcBorders>
              <w:tl2br w:val="nil"/>
              <w:tr2bl w:val="nil"/>
            </w:tcBorders>
            <w:noWrap w:val="0"/>
            <w:vAlign w:val="center"/>
          </w:tcPr>
          <w:p>
            <w:pPr>
              <w:widowControl/>
              <w:jc w:val="center"/>
              <w:textAlignment w:val="bottom"/>
              <w:rPr>
                <w:rFonts w:hint="eastAsia"/>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占地面积48</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bidi="ar"/>
              </w:rPr>
              <w:t>48</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bCs/>
                <w:color w:val="auto"/>
                <w:szCs w:val="21"/>
              </w:rPr>
            </w:pPr>
            <w:r>
              <w:rPr>
                <w:rFonts w:hint="eastAsia"/>
                <w:bCs/>
                <w:color w:val="auto"/>
                <w:szCs w:val="21"/>
              </w:rPr>
              <w:t>包装车间</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lang w:val="en-US" w:eastAsia="zh-CN"/>
              </w:rPr>
              <w:t>包含</w:t>
            </w:r>
            <w:r>
              <w:rPr>
                <w:rFonts w:hint="eastAsia"/>
                <w:color w:val="auto"/>
                <w:szCs w:val="21"/>
              </w:rPr>
              <w:t>成品及包材间、易拉罐包装间、易拉罐灌装间、桶啤灌装间及冷库</w:t>
            </w:r>
          </w:p>
        </w:tc>
        <w:tc>
          <w:tcPr>
            <w:tcW w:w="4295" w:type="dxa"/>
            <w:tcBorders>
              <w:tl2br w:val="nil"/>
              <w:tr2bl w:val="nil"/>
            </w:tcBorders>
            <w:noWrap w:val="0"/>
            <w:vAlign w:val="center"/>
          </w:tcPr>
          <w:p>
            <w:pPr>
              <w:widowControl/>
              <w:jc w:val="center"/>
              <w:textAlignment w:val="bottom"/>
              <w:rPr>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占地面积1</w:t>
            </w:r>
            <w:r>
              <w:rPr>
                <w:rFonts w:hint="eastAsia"/>
                <w:bCs/>
                <w:color w:val="auto"/>
                <w:szCs w:val="21"/>
                <w:lang w:val="en-US" w:eastAsia="zh-CN"/>
              </w:rPr>
              <w:t>90</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bidi="ar"/>
              </w:rPr>
              <w:t>1</w:t>
            </w:r>
            <w:r>
              <w:rPr>
                <w:rFonts w:hint="eastAsia"/>
                <w:color w:val="auto"/>
                <w:kern w:val="0"/>
                <w:szCs w:val="21"/>
                <w:lang w:val="en-US" w:eastAsia="zh-CN" w:bidi="ar"/>
              </w:rPr>
              <w:t>90</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1层，其中成品及包材间建筑面积</w:t>
            </w:r>
            <w:r>
              <w:rPr>
                <w:rFonts w:hint="eastAsia"/>
                <w:color w:val="auto"/>
                <w:kern w:val="0"/>
                <w:szCs w:val="21"/>
                <w:lang w:bidi="ar"/>
              </w:rPr>
              <w:t>30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易拉罐包装间建筑面积</w:t>
            </w:r>
            <w:r>
              <w:rPr>
                <w:rFonts w:hint="eastAsia"/>
                <w:color w:val="auto"/>
                <w:kern w:val="0"/>
                <w:szCs w:val="21"/>
                <w:lang w:bidi="ar"/>
              </w:rPr>
              <w:t>50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易拉罐灌装间建筑面积</w:t>
            </w:r>
            <w:r>
              <w:rPr>
                <w:rFonts w:hint="eastAsia"/>
                <w:color w:val="auto"/>
                <w:kern w:val="0"/>
                <w:szCs w:val="21"/>
                <w:lang w:val="en-US" w:eastAsia="zh-CN" w:bidi="ar"/>
              </w:rPr>
              <w:t>52</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桶啤灌装间建筑面积</w:t>
            </w:r>
            <w:r>
              <w:rPr>
                <w:rFonts w:hint="eastAsia"/>
                <w:color w:val="auto"/>
                <w:kern w:val="0"/>
                <w:szCs w:val="21"/>
                <w:lang w:bidi="ar"/>
              </w:rPr>
              <w:t>20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冷库建筑面积</w:t>
            </w:r>
            <w:r>
              <w:rPr>
                <w:rFonts w:hint="eastAsia"/>
                <w:color w:val="auto"/>
                <w:kern w:val="0"/>
                <w:szCs w:val="21"/>
                <w:lang w:bidi="ar"/>
              </w:rPr>
              <w:t>38</w:t>
            </w:r>
            <w:r>
              <w:rPr>
                <w:color w:val="auto"/>
                <w:szCs w:val="21"/>
                <w:lang w:val="zh-CN"/>
              </w:rPr>
              <w:t>m</w:t>
            </w:r>
            <w:r>
              <w:rPr>
                <w:color w:val="auto"/>
                <w:szCs w:val="21"/>
                <w:vertAlign w:val="superscript"/>
                <w:lang w:val="zh-CN"/>
              </w:rPr>
              <w:t>2</w:t>
            </w:r>
            <w:r>
              <w:rPr>
                <w:bCs/>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color w:val="auto"/>
                <w:szCs w:val="21"/>
              </w:rPr>
            </w:pPr>
            <w:r>
              <w:rPr>
                <w:rFonts w:hint="eastAsia"/>
                <w:bCs/>
                <w:color w:val="auto"/>
                <w:szCs w:val="21"/>
              </w:rPr>
              <w:t>展示厅</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rPr>
              <w:t>啤酒展示区域</w:t>
            </w:r>
          </w:p>
        </w:tc>
        <w:tc>
          <w:tcPr>
            <w:tcW w:w="4295" w:type="dxa"/>
            <w:tcBorders>
              <w:tl2br w:val="nil"/>
              <w:tr2bl w:val="nil"/>
            </w:tcBorders>
            <w:noWrap w:val="0"/>
            <w:vAlign w:val="center"/>
          </w:tcPr>
          <w:p>
            <w:pPr>
              <w:widowControl/>
              <w:jc w:val="center"/>
              <w:textAlignment w:val="bottom"/>
              <w:rPr>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w:t>
            </w:r>
            <w:r>
              <w:rPr>
                <w:rFonts w:hint="eastAsia"/>
                <w:bCs/>
                <w:color w:val="auto"/>
                <w:szCs w:val="21"/>
                <w:lang w:val="en-US" w:eastAsia="zh-CN"/>
              </w:rPr>
              <w:t>50</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val="en-US" w:eastAsia="zh-CN" w:bidi="ar"/>
              </w:rPr>
              <w:t>50</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rFonts w:hint="eastAsia"/>
                <w:bCs/>
                <w:color w:val="auto"/>
                <w:szCs w:val="21"/>
              </w:rPr>
            </w:pPr>
            <w:r>
              <w:rPr>
                <w:rFonts w:hint="eastAsia"/>
                <w:bCs/>
                <w:color w:val="auto"/>
                <w:szCs w:val="21"/>
              </w:rPr>
              <w:t>更衣室</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rPr>
              <w:t>员工更衣区域</w:t>
            </w:r>
          </w:p>
        </w:tc>
        <w:tc>
          <w:tcPr>
            <w:tcW w:w="4295" w:type="dxa"/>
            <w:tcBorders>
              <w:tl2br w:val="nil"/>
              <w:tr2bl w:val="nil"/>
            </w:tcBorders>
            <w:noWrap w:val="0"/>
            <w:vAlign w:val="center"/>
          </w:tcPr>
          <w:p>
            <w:pPr>
              <w:widowControl/>
              <w:jc w:val="center"/>
              <w:textAlignment w:val="bottom"/>
              <w:rPr>
                <w:rFonts w:hint="eastAsia"/>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w:t>
            </w:r>
            <w:r>
              <w:rPr>
                <w:rFonts w:hint="eastAsia"/>
                <w:bCs/>
                <w:color w:val="auto"/>
                <w:szCs w:val="21"/>
                <w:lang w:val="en-US" w:eastAsia="zh-CN"/>
              </w:rPr>
              <w:t>12</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val="en-US" w:eastAsia="zh-CN" w:bidi="ar"/>
              </w:rPr>
              <w:t>12</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bCs/>
                <w:color w:val="auto"/>
                <w:szCs w:val="21"/>
              </w:rPr>
            </w:pPr>
            <w:r>
              <w:rPr>
                <w:rFonts w:hint="eastAsia"/>
                <w:bCs/>
                <w:color w:val="auto"/>
                <w:szCs w:val="21"/>
              </w:rPr>
              <w:t>大厅</w:t>
            </w:r>
          </w:p>
        </w:tc>
        <w:tc>
          <w:tcPr>
            <w:tcW w:w="2012"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大厅</w:t>
            </w:r>
          </w:p>
        </w:tc>
        <w:tc>
          <w:tcPr>
            <w:tcW w:w="4295" w:type="dxa"/>
            <w:tcBorders>
              <w:tl2br w:val="nil"/>
              <w:tr2bl w:val="nil"/>
            </w:tcBorders>
            <w:noWrap w:val="0"/>
            <w:vAlign w:val="center"/>
          </w:tcPr>
          <w:p>
            <w:pPr>
              <w:widowControl/>
              <w:jc w:val="center"/>
              <w:textAlignment w:val="bottom"/>
              <w:rPr>
                <w:rFonts w:hint="eastAsia"/>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w:t>
            </w:r>
            <w:r>
              <w:rPr>
                <w:rFonts w:hint="eastAsia"/>
                <w:bCs/>
                <w:color w:val="auto"/>
                <w:szCs w:val="21"/>
                <w:lang w:val="en-US" w:eastAsia="zh-CN"/>
              </w:rPr>
              <w:t>30</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val="en-US" w:eastAsia="zh-CN" w:bidi="ar"/>
              </w:rPr>
              <w:t>30</w:t>
            </w:r>
            <w:r>
              <w:rPr>
                <w:color w:val="auto"/>
                <w:szCs w:val="21"/>
                <w:lang w:val="zh-CN"/>
              </w:rPr>
              <w:t>m</w:t>
            </w:r>
            <w:r>
              <w:rPr>
                <w:color w:val="auto"/>
                <w:szCs w:val="21"/>
                <w:vertAlign w:val="superscript"/>
                <w:lang w:val="zh-CN"/>
              </w:rPr>
              <w:t>2</w:t>
            </w:r>
            <w:r>
              <w:rPr>
                <w:bCs/>
                <w:color w:val="auto"/>
                <w:szCs w:val="21"/>
              </w:rPr>
              <w:t>，共</w:t>
            </w:r>
            <w:r>
              <w:rPr>
                <w:rFonts w:hint="eastAsia"/>
                <w:bCs/>
                <w:color w:val="auto"/>
                <w:szCs w:val="21"/>
              </w:rPr>
              <w:t>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rFonts w:hint="eastAsia" w:eastAsia="宋体"/>
                <w:bCs/>
                <w:color w:val="auto"/>
                <w:szCs w:val="21"/>
                <w:lang w:val="en-US" w:eastAsia="zh-CN"/>
              </w:rPr>
            </w:pPr>
            <w:r>
              <w:rPr>
                <w:rFonts w:hint="eastAsia"/>
                <w:bCs/>
                <w:color w:val="auto"/>
                <w:szCs w:val="21"/>
                <w:lang w:val="en-US" w:eastAsia="zh-CN"/>
              </w:rPr>
              <w:t>实验室</w:t>
            </w:r>
          </w:p>
        </w:tc>
        <w:tc>
          <w:tcPr>
            <w:tcW w:w="2012" w:type="dxa"/>
            <w:tcBorders>
              <w:tl2br w:val="nil"/>
              <w:tr2bl w:val="nil"/>
            </w:tcBorders>
            <w:noWrap w:val="0"/>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成品啤酒检测区域</w:t>
            </w:r>
          </w:p>
        </w:tc>
        <w:tc>
          <w:tcPr>
            <w:tcW w:w="4295" w:type="dxa"/>
            <w:tcBorders>
              <w:tl2br w:val="nil"/>
              <w:tr2bl w:val="nil"/>
            </w:tcBorders>
            <w:noWrap w:val="0"/>
            <w:vAlign w:val="center"/>
          </w:tcPr>
          <w:p>
            <w:pPr>
              <w:widowControl/>
              <w:jc w:val="center"/>
              <w:textAlignment w:val="bottom"/>
              <w:rPr>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w:t>
            </w:r>
            <w:r>
              <w:rPr>
                <w:rFonts w:hint="eastAsia"/>
                <w:bCs/>
                <w:color w:val="auto"/>
                <w:szCs w:val="21"/>
                <w:lang w:val="en-US" w:eastAsia="zh-CN"/>
              </w:rPr>
              <w:t>42</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val="en-US" w:eastAsia="zh-CN" w:bidi="ar"/>
              </w:rPr>
              <w:t>42</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为单层区域，位于2F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rFonts w:hint="default"/>
                <w:bCs/>
                <w:color w:val="auto"/>
                <w:szCs w:val="21"/>
                <w:lang w:val="en-US" w:eastAsia="zh-CN"/>
              </w:rPr>
            </w:pPr>
            <w:r>
              <w:rPr>
                <w:rFonts w:hint="eastAsia"/>
                <w:bCs/>
                <w:color w:val="auto"/>
                <w:szCs w:val="21"/>
                <w:lang w:val="en-US" w:eastAsia="zh-CN"/>
              </w:rPr>
              <w:t>液化石油气储存间</w:t>
            </w:r>
          </w:p>
        </w:tc>
        <w:tc>
          <w:tcPr>
            <w:tcW w:w="2012" w:type="dxa"/>
            <w:tcBorders>
              <w:tl2br w:val="nil"/>
              <w:tr2bl w:val="nil"/>
            </w:tcBorders>
            <w:noWrap w:val="0"/>
            <w:vAlign w:val="center"/>
          </w:tcPr>
          <w:p>
            <w:pPr>
              <w:adjustRightInd w:val="0"/>
              <w:snapToGrid w:val="0"/>
              <w:jc w:val="center"/>
              <w:rPr>
                <w:rFonts w:hint="default"/>
                <w:color w:val="auto"/>
                <w:szCs w:val="21"/>
                <w:lang w:val="en-US" w:eastAsia="zh-CN"/>
              </w:rPr>
            </w:pPr>
            <w:r>
              <w:rPr>
                <w:rFonts w:hint="eastAsia"/>
                <w:bCs/>
                <w:color w:val="auto"/>
                <w:szCs w:val="21"/>
                <w:lang w:val="en-US" w:eastAsia="zh-CN"/>
              </w:rPr>
              <w:t>液化石油气储存区域</w:t>
            </w:r>
          </w:p>
        </w:tc>
        <w:tc>
          <w:tcPr>
            <w:tcW w:w="4295" w:type="dxa"/>
            <w:tcBorders>
              <w:tl2br w:val="nil"/>
              <w:tr2bl w:val="nil"/>
            </w:tcBorders>
            <w:noWrap w:val="0"/>
            <w:vAlign w:val="center"/>
          </w:tcPr>
          <w:p>
            <w:pPr>
              <w:widowControl/>
              <w:jc w:val="center"/>
              <w:textAlignment w:val="bottom"/>
              <w:rPr>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占地面积</w:t>
            </w:r>
            <w:r>
              <w:rPr>
                <w:rFonts w:hint="eastAsia"/>
                <w:bCs/>
                <w:color w:val="auto"/>
                <w:szCs w:val="21"/>
                <w:lang w:val="en-US" w:eastAsia="zh-CN"/>
              </w:rPr>
              <w:t>16</w:t>
            </w:r>
            <w:r>
              <w:rPr>
                <w:color w:val="auto"/>
                <w:szCs w:val="21"/>
                <w:lang w:val="zh-CN"/>
              </w:rPr>
              <w:t>m</w:t>
            </w:r>
            <w:r>
              <w:rPr>
                <w:color w:val="auto"/>
                <w:szCs w:val="21"/>
                <w:vertAlign w:val="superscript"/>
                <w:lang w:val="zh-CN"/>
              </w:rPr>
              <w:t>2</w:t>
            </w:r>
            <w:r>
              <w:rPr>
                <w:rFonts w:hint="eastAsia"/>
                <w:bCs/>
                <w:color w:val="auto"/>
                <w:szCs w:val="21"/>
              </w:rPr>
              <w:t>，建筑面积</w:t>
            </w:r>
            <w:r>
              <w:rPr>
                <w:rFonts w:hint="eastAsia"/>
                <w:color w:val="auto"/>
                <w:kern w:val="0"/>
                <w:szCs w:val="21"/>
                <w:lang w:val="en-US" w:eastAsia="zh-CN" w:bidi="ar"/>
              </w:rPr>
              <w:t>20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为单层区域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rFonts w:hint="default" w:eastAsia="宋体"/>
                <w:bCs/>
                <w:color w:val="auto"/>
                <w:szCs w:val="21"/>
                <w:lang w:val="en-US" w:eastAsia="zh-CN"/>
              </w:rPr>
            </w:pPr>
            <w:r>
              <w:rPr>
                <w:rFonts w:hint="eastAsia"/>
                <w:bCs/>
                <w:color w:val="auto"/>
                <w:szCs w:val="21"/>
              </w:rPr>
              <w:t>二楼</w:t>
            </w:r>
            <w:r>
              <w:rPr>
                <w:rFonts w:hint="eastAsia"/>
                <w:bCs/>
                <w:color w:val="auto"/>
                <w:szCs w:val="21"/>
                <w:lang w:val="en-US" w:eastAsia="zh-CN"/>
              </w:rPr>
              <w:t>空置区域</w:t>
            </w:r>
          </w:p>
        </w:tc>
        <w:tc>
          <w:tcPr>
            <w:tcW w:w="2012" w:type="dxa"/>
            <w:tcBorders>
              <w:tl2br w:val="nil"/>
              <w:tr2bl w:val="nil"/>
            </w:tcBorders>
            <w:noWrap w:val="0"/>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空置</w:t>
            </w:r>
            <w:r>
              <w:rPr>
                <w:rFonts w:hint="eastAsia"/>
                <w:color w:val="auto"/>
                <w:szCs w:val="21"/>
              </w:rPr>
              <w:t>区域</w:t>
            </w:r>
            <w:r>
              <w:rPr>
                <w:rFonts w:hint="eastAsia"/>
                <w:color w:val="auto"/>
                <w:szCs w:val="21"/>
                <w:lang w:eastAsia="zh-CN"/>
              </w:rPr>
              <w:t>，</w:t>
            </w:r>
            <w:r>
              <w:rPr>
                <w:rFonts w:hint="eastAsia"/>
                <w:color w:val="auto"/>
                <w:szCs w:val="21"/>
                <w:lang w:val="en-US" w:eastAsia="zh-CN"/>
              </w:rPr>
              <w:t>暂未做规划</w:t>
            </w:r>
          </w:p>
        </w:tc>
        <w:tc>
          <w:tcPr>
            <w:tcW w:w="4295" w:type="dxa"/>
            <w:tcBorders>
              <w:tl2br w:val="nil"/>
              <w:tr2bl w:val="nil"/>
            </w:tcBorders>
            <w:noWrap w:val="0"/>
            <w:vAlign w:val="center"/>
          </w:tcPr>
          <w:p>
            <w:pPr>
              <w:widowControl/>
              <w:jc w:val="center"/>
              <w:textAlignment w:val="bottom"/>
              <w:rPr>
                <w:bCs/>
                <w:color w:val="auto"/>
                <w:szCs w:val="21"/>
              </w:rPr>
            </w:pPr>
            <w:r>
              <w:rPr>
                <w:bCs/>
                <w:color w:val="auto"/>
                <w:szCs w:val="21"/>
              </w:rPr>
              <w:t>为</w:t>
            </w:r>
            <w:r>
              <w:rPr>
                <w:rFonts w:hint="eastAsia"/>
                <w:bCs/>
                <w:color w:val="auto"/>
                <w:szCs w:val="21"/>
              </w:rPr>
              <w:t>轻钢结构</w:t>
            </w:r>
            <w:r>
              <w:rPr>
                <w:bCs/>
                <w:color w:val="auto"/>
                <w:szCs w:val="21"/>
              </w:rPr>
              <w:t>，</w:t>
            </w:r>
            <w:r>
              <w:rPr>
                <w:rFonts w:hint="eastAsia"/>
                <w:bCs/>
                <w:color w:val="auto"/>
                <w:szCs w:val="21"/>
              </w:rPr>
              <w:t>建筑面积</w:t>
            </w:r>
            <w:r>
              <w:rPr>
                <w:rFonts w:hint="eastAsia"/>
                <w:color w:val="auto"/>
                <w:kern w:val="0"/>
                <w:szCs w:val="21"/>
                <w:lang w:val="en-US" w:eastAsia="zh-CN" w:bidi="ar"/>
              </w:rPr>
              <w:t>240</w:t>
            </w:r>
            <w:r>
              <w:rPr>
                <w:color w:val="auto"/>
                <w:szCs w:val="21"/>
                <w:lang w:val="zh-CN"/>
              </w:rPr>
              <w:t>m</w:t>
            </w:r>
            <w:r>
              <w:rPr>
                <w:color w:val="auto"/>
                <w:szCs w:val="21"/>
                <w:vertAlign w:val="superscript"/>
                <w:lang w:val="zh-CN"/>
              </w:rPr>
              <w:t>2</w:t>
            </w:r>
            <w:r>
              <w:rPr>
                <w:bCs/>
                <w:color w:val="auto"/>
                <w:szCs w:val="21"/>
              </w:rPr>
              <w:t>，</w:t>
            </w:r>
            <w:r>
              <w:rPr>
                <w:rFonts w:hint="eastAsia"/>
                <w:bCs/>
                <w:color w:val="auto"/>
                <w:szCs w:val="21"/>
              </w:rPr>
              <w:t>位于2F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482" w:hRule="atLeast"/>
        </w:trPr>
        <w:tc>
          <w:tcPr>
            <w:tcW w:w="692" w:type="dxa"/>
            <w:vMerge w:val="restart"/>
            <w:tcBorders>
              <w:tl2br w:val="nil"/>
              <w:tr2bl w:val="nil"/>
            </w:tcBorders>
            <w:noWrap w:val="0"/>
            <w:vAlign w:val="center"/>
          </w:tcPr>
          <w:p>
            <w:pPr>
              <w:adjustRightInd w:val="0"/>
              <w:snapToGrid w:val="0"/>
              <w:jc w:val="center"/>
              <w:rPr>
                <w:b/>
                <w:bCs/>
                <w:color w:val="auto"/>
                <w:szCs w:val="21"/>
              </w:rPr>
            </w:pPr>
            <w:r>
              <w:rPr>
                <w:b/>
                <w:bCs/>
                <w:color w:val="auto"/>
                <w:szCs w:val="21"/>
              </w:rPr>
              <w:t>公用工程</w:t>
            </w:r>
          </w:p>
        </w:tc>
        <w:tc>
          <w:tcPr>
            <w:tcW w:w="1538" w:type="dxa"/>
            <w:gridSpan w:val="2"/>
            <w:tcBorders>
              <w:tl2br w:val="nil"/>
              <w:tr2bl w:val="nil"/>
            </w:tcBorders>
            <w:noWrap w:val="0"/>
            <w:vAlign w:val="center"/>
          </w:tcPr>
          <w:p>
            <w:pPr>
              <w:adjustRightInd w:val="0"/>
              <w:snapToGrid w:val="0"/>
              <w:jc w:val="center"/>
              <w:rPr>
                <w:color w:val="auto"/>
                <w:szCs w:val="21"/>
              </w:rPr>
            </w:pPr>
            <w:r>
              <w:rPr>
                <w:color w:val="auto"/>
                <w:szCs w:val="21"/>
              </w:rPr>
              <w:t>供水</w:t>
            </w:r>
          </w:p>
        </w:tc>
        <w:tc>
          <w:tcPr>
            <w:tcW w:w="2012" w:type="dxa"/>
            <w:tcBorders>
              <w:tl2br w:val="nil"/>
              <w:tr2bl w:val="nil"/>
            </w:tcBorders>
            <w:noWrap w:val="0"/>
            <w:vAlign w:val="center"/>
          </w:tcPr>
          <w:p>
            <w:pPr>
              <w:adjustRightInd w:val="0"/>
              <w:snapToGrid w:val="0"/>
              <w:jc w:val="center"/>
              <w:rPr>
                <w:color w:val="auto"/>
                <w:szCs w:val="21"/>
              </w:rPr>
            </w:pPr>
            <w:r>
              <w:rPr>
                <w:color w:val="auto"/>
                <w:szCs w:val="21"/>
              </w:rPr>
              <w:t>市政供水</w:t>
            </w:r>
          </w:p>
        </w:tc>
        <w:tc>
          <w:tcPr>
            <w:tcW w:w="4295" w:type="dxa"/>
            <w:vMerge w:val="restart"/>
            <w:tcBorders>
              <w:tl2br w:val="nil"/>
              <w:tr2bl w:val="nil"/>
            </w:tcBorders>
            <w:noWrap w:val="0"/>
            <w:vAlign w:val="center"/>
          </w:tcPr>
          <w:p>
            <w:pPr>
              <w:adjustRightInd w:val="0"/>
              <w:snapToGrid w:val="0"/>
              <w:jc w:val="center"/>
              <w:rPr>
                <w:color w:val="auto"/>
                <w:szCs w:val="21"/>
              </w:rPr>
            </w:pPr>
            <w:r>
              <w:rPr>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1538" w:type="dxa"/>
            <w:gridSpan w:val="2"/>
            <w:tcBorders>
              <w:tl2br w:val="nil"/>
              <w:tr2bl w:val="nil"/>
            </w:tcBorders>
            <w:noWrap w:val="0"/>
            <w:vAlign w:val="center"/>
          </w:tcPr>
          <w:p>
            <w:pPr>
              <w:adjustRightInd w:val="0"/>
              <w:snapToGrid w:val="0"/>
              <w:jc w:val="center"/>
              <w:rPr>
                <w:color w:val="auto"/>
                <w:szCs w:val="21"/>
              </w:rPr>
            </w:pPr>
            <w:r>
              <w:rPr>
                <w:color w:val="auto"/>
                <w:szCs w:val="21"/>
              </w:rPr>
              <w:t>供电</w:t>
            </w:r>
          </w:p>
        </w:tc>
        <w:tc>
          <w:tcPr>
            <w:tcW w:w="2012" w:type="dxa"/>
            <w:tcBorders>
              <w:tl2br w:val="nil"/>
              <w:tr2bl w:val="nil"/>
            </w:tcBorders>
            <w:noWrap w:val="0"/>
            <w:vAlign w:val="center"/>
          </w:tcPr>
          <w:p>
            <w:pPr>
              <w:adjustRightInd w:val="0"/>
              <w:snapToGrid w:val="0"/>
              <w:jc w:val="center"/>
              <w:rPr>
                <w:color w:val="auto"/>
                <w:szCs w:val="21"/>
              </w:rPr>
            </w:pPr>
            <w:r>
              <w:rPr>
                <w:color w:val="auto"/>
                <w:szCs w:val="21"/>
              </w:rPr>
              <w:t>市政供电</w:t>
            </w:r>
          </w:p>
        </w:tc>
        <w:tc>
          <w:tcPr>
            <w:tcW w:w="4295" w:type="dxa"/>
            <w:vMerge w:val="continue"/>
            <w:tcBorders>
              <w:tl2br w:val="nil"/>
              <w:tr2bl w:val="nil"/>
            </w:tcBorders>
            <w:noWrap w:val="0"/>
            <w:vAlign w:val="center"/>
          </w:tcPr>
          <w:p>
            <w:pPr>
              <w:adjustRightInd w:val="0"/>
              <w:snapToGrid w:val="0"/>
              <w:jc w:val="center"/>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restart"/>
            <w:tcBorders>
              <w:tl2br w:val="nil"/>
              <w:tr2bl w:val="nil"/>
            </w:tcBorders>
            <w:noWrap w:val="0"/>
            <w:vAlign w:val="center"/>
          </w:tcPr>
          <w:p>
            <w:pPr>
              <w:adjustRightInd w:val="0"/>
              <w:snapToGrid w:val="0"/>
              <w:jc w:val="center"/>
              <w:rPr>
                <w:b/>
                <w:bCs/>
                <w:color w:val="auto"/>
                <w:szCs w:val="21"/>
              </w:rPr>
            </w:pPr>
            <w:r>
              <w:rPr>
                <w:b/>
                <w:bCs/>
                <w:color w:val="auto"/>
                <w:szCs w:val="21"/>
              </w:rPr>
              <w:t>环保工程</w:t>
            </w:r>
          </w:p>
        </w:tc>
        <w:tc>
          <w:tcPr>
            <w:tcW w:w="425" w:type="dxa"/>
            <w:vMerge w:val="restart"/>
            <w:tcBorders>
              <w:tl2br w:val="nil"/>
              <w:tr2bl w:val="nil"/>
            </w:tcBorders>
            <w:noWrap w:val="0"/>
            <w:vAlign w:val="center"/>
          </w:tcPr>
          <w:p>
            <w:pPr>
              <w:adjustRightInd w:val="0"/>
              <w:snapToGrid w:val="0"/>
              <w:jc w:val="center"/>
              <w:rPr>
                <w:rFonts w:hint="eastAsia"/>
                <w:color w:val="auto"/>
                <w:szCs w:val="21"/>
              </w:rPr>
            </w:pPr>
            <w:r>
              <w:rPr>
                <w:color w:val="auto"/>
                <w:szCs w:val="21"/>
              </w:rPr>
              <w:t>废气</w:t>
            </w:r>
          </w:p>
        </w:tc>
        <w:tc>
          <w:tcPr>
            <w:tcW w:w="1113" w:type="dxa"/>
            <w:tcBorders>
              <w:tl2br w:val="nil"/>
              <w:tr2bl w:val="nil"/>
            </w:tcBorders>
            <w:noWrap w:val="0"/>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袋式除尘器+15m高排气筒</w:t>
            </w:r>
          </w:p>
        </w:tc>
        <w:tc>
          <w:tcPr>
            <w:tcW w:w="2012"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处理投料、粉碎粉尘</w:t>
            </w:r>
          </w:p>
        </w:tc>
        <w:tc>
          <w:tcPr>
            <w:tcW w:w="4295" w:type="dxa"/>
            <w:tcBorders>
              <w:tl2br w:val="nil"/>
              <w:tr2bl w:val="nil"/>
            </w:tcBorders>
            <w:noWrap w:val="0"/>
            <w:vAlign w:val="center"/>
          </w:tcPr>
          <w:p>
            <w:pPr>
              <w:adjustRightInd w:val="0"/>
              <w:snapToGrid w:val="0"/>
              <w:jc w:val="center"/>
              <w:rPr>
                <w:color w:val="auto"/>
                <w:szCs w:val="21"/>
              </w:rPr>
            </w:pPr>
            <w:r>
              <w:rPr>
                <w:rFonts w:hint="eastAsia"/>
                <w:color w:val="auto"/>
                <w:szCs w:val="21"/>
              </w:rPr>
              <w:t>拟</w:t>
            </w:r>
            <w:r>
              <w:rPr>
                <w:rFonts w:hint="eastAsia"/>
                <w:color w:val="auto"/>
                <w:szCs w:val="21"/>
                <w:lang w:val="en-US" w:eastAsia="zh-CN"/>
              </w:rPr>
              <w:t>设置“袋式除尘器”处理</w:t>
            </w:r>
            <w:r>
              <w:rPr>
                <w:rFonts w:hint="eastAsia"/>
                <w:color w:val="auto"/>
                <w:szCs w:val="21"/>
              </w:rPr>
              <w:t>投料、粉碎粉尘</w:t>
            </w:r>
            <w:r>
              <w:rPr>
                <w:rFonts w:hint="eastAsia"/>
                <w:color w:val="auto"/>
                <w:szCs w:val="21"/>
                <w:lang w:val="en-US" w:eastAsia="zh-CN"/>
              </w:rPr>
              <w:t>后经15m高排气筒排放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425" w:type="dxa"/>
            <w:vMerge w:val="continue"/>
            <w:tcBorders>
              <w:tl2br w:val="nil"/>
              <w:tr2bl w:val="nil"/>
            </w:tcBorders>
            <w:noWrap w:val="0"/>
            <w:vAlign w:val="center"/>
          </w:tcPr>
          <w:p>
            <w:pPr>
              <w:adjustRightInd w:val="0"/>
              <w:snapToGrid w:val="0"/>
              <w:jc w:val="center"/>
              <w:rPr>
                <w:color w:val="auto"/>
                <w:szCs w:val="21"/>
              </w:rPr>
            </w:pPr>
          </w:p>
        </w:tc>
        <w:tc>
          <w:tcPr>
            <w:tcW w:w="1113" w:type="dxa"/>
            <w:tcBorders>
              <w:tl2br w:val="nil"/>
              <w:tr2bl w:val="nil"/>
            </w:tcBorders>
            <w:noWrap w:val="0"/>
            <w:vAlign w:val="center"/>
          </w:tcPr>
          <w:p>
            <w:pPr>
              <w:adjustRightInd w:val="0"/>
              <w:snapToGrid w:val="0"/>
              <w:jc w:val="center"/>
              <w:rPr>
                <w:rFonts w:hint="default"/>
                <w:color w:val="auto"/>
                <w:szCs w:val="21"/>
                <w:lang w:val="en-US" w:eastAsia="zh-CN"/>
              </w:rPr>
            </w:pPr>
            <w:r>
              <w:rPr>
                <w:rFonts w:hint="eastAsia"/>
                <w:color w:val="auto"/>
                <w:szCs w:val="21"/>
                <w:lang w:val="en-US" w:eastAsia="zh-CN"/>
              </w:rPr>
              <w:t>6m高排气筒</w:t>
            </w:r>
          </w:p>
        </w:tc>
        <w:tc>
          <w:tcPr>
            <w:tcW w:w="2012" w:type="dxa"/>
            <w:tcBorders>
              <w:tl2br w:val="nil"/>
              <w:tr2bl w:val="nil"/>
            </w:tcBorders>
            <w:noWrap w:val="0"/>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收集蒸汽发生器尾气</w:t>
            </w:r>
          </w:p>
        </w:tc>
        <w:tc>
          <w:tcPr>
            <w:tcW w:w="4295" w:type="dxa"/>
            <w:tcBorders>
              <w:tl2br w:val="nil"/>
              <w:tr2bl w:val="nil"/>
            </w:tcBorders>
            <w:noWrap w:val="0"/>
            <w:vAlign w:val="center"/>
          </w:tcPr>
          <w:p>
            <w:pPr>
              <w:adjustRightInd w:val="0"/>
              <w:snapToGrid w:val="0"/>
              <w:jc w:val="center"/>
              <w:rPr>
                <w:rFonts w:hint="default"/>
                <w:color w:val="auto"/>
                <w:szCs w:val="21"/>
                <w:lang w:val="en-US"/>
              </w:rPr>
            </w:pPr>
            <w:r>
              <w:rPr>
                <w:rFonts w:hint="eastAsia"/>
                <w:color w:val="auto"/>
                <w:szCs w:val="21"/>
                <w:lang w:val="en-US" w:eastAsia="zh-CN"/>
              </w:rPr>
              <w:t>蒸汽发生器尾气经6m高排气筒排放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425" w:type="dxa"/>
            <w:vMerge w:val="restart"/>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废水</w:t>
            </w:r>
          </w:p>
        </w:tc>
        <w:tc>
          <w:tcPr>
            <w:tcW w:w="1113" w:type="dxa"/>
            <w:tcBorders>
              <w:tl2br w:val="nil"/>
              <w:tr2bl w:val="nil"/>
            </w:tcBorders>
            <w:noWrap w:val="0"/>
            <w:vAlign w:val="center"/>
          </w:tcPr>
          <w:p>
            <w:pPr>
              <w:adjustRightInd w:val="0"/>
              <w:snapToGrid w:val="0"/>
              <w:jc w:val="center"/>
              <w:rPr>
                <w:color w:val="auto"/>
                <w:szCs w:val="21"/>
              </w:rPr>
            </w:pPr>
            <w:r>
              <w:rPr>
                <w:rFonts w:hint="eastAsia"/>
                <w:color w:val="auto"/>
                <w:szCs w:val="21"/>
              </w:rPr>
              <w:t>三级化粪池</w:t>
            </w:r>
          </w:p>
        </w:tc>
        <w:tc>
          <w:tcPr>
            <w:tcW w:w="2012" w:type="dxa"/>
            <w:tcBorders>
              <w:tl2br w:val="nil"/>
              <w:tr2bl w:val="nil"/>
            </w:tcBorders>
            <w:noWrap w:val="0"/>
            <w:vAlign w:val="center"/>
          </w:tcPr>
          <w:p>
            <w:pPr>
              <w:adjustRightInd w:val="0"/>
              <w:snapToGrid w:val="0"/>
              <w:jc w:val="center"/>
              <w:rPr>
                <w:color w:val="auto"/>
                <w:szCs w:val="21"/>
              </w:rPr>
            </w:pPr>
            <w:r>
              <w:rPr>
                <w:rFonts w:hint="eastAsia"/>
                <w:color w:val="auto"/>
                <w:szCs w:val="21"/>
              </w:rPr>
              <w:t>处理生活污水</w:t>
            </w:r>
          </w:p>
        </w:tc>
        <w:tc>
          <w:tcPr>
            <w:tcW w:w="4295" w:type="dxa"/>
            <w:tcBorders>
              <w:tl2br w:val="nil"/>
              <w:tr2bl w:val="nil"/>
            </w:tcBorders>
            <w:noWrap w:val="0"/>
            <w:vAlign w:val="center"/>
          </w:tcPr>
          <w:p>
            <w:pPr>
              <w:adjustRightInd w:val="0"/>
              <w:snapToGrid w:val="0"/>
              <w:jc w:val="center"/>
              <w:rPr>
                <w:color w:val="auto"/>
                <w:szCs w:val="21"/>
              </w:rPr>
            </w:pPr>
            <w:r>
              <w:rPr>
                <w:color w:val="auto"/>
                <w:kern w:val="0"/>
                <w:szCs w:val="21"/>
              </w:rPr>
              <w:t>采用硬底化防渗设计</w:t>
            </w:r>
            <w:r>
              <w:rPr>
                <w:rFonts w:hint="eastAsia"/>
                <w:color w:val="auto"/>
              </w:rPr>
              <w:t>，尺寸为3m</w:t>
            </w:r>
            <w:r>
              <w:rPr>
                <w:rFonts w:ascii="Arial" w:hAnsi="Arial" w:cs="Arial"/>
                <w:color w:val="auto"/>
              </w:rPr>
              <w:t>×</w:t>
            </w:r>
            <w:r>
              <w:rPr>
                <w:rFonts w:hint="eastAsia"/>
                <w:color w:val="auto"/>
              </w:rPr>
              <w:t>1.5m×1.2m</w:t>
            </w:r>
            <w:r>
              <w:rPr>
                <w:color w:val="auto"/>
                <w:szCs w:val="21"/>
              </w:rPr>
              <w:t>，</w:t>
            </w:r>
            <w:r>
              <w:rPr>
                <w:rFonts w:hint="eastAsia"/>
                <w:color w:val="auto"/>
                <w:szCs w:val="21"/>
              </w:rPr>
              <w:t>有效容积为5m</w:t>
            </w:r>
            <w:r>
              <w:rPr>
                <w:rFonts w:hint="eastAsia"/>
                <w:color w:val="auto"/>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425" w:type="dxa"/>
            <w:vMerge w:val="continue"/>
            <w:tcBorders>
              <w:tl2br w:val="nil"/>
              <w:tr2bl w:val="nil"/>
            </w:tcBorders>
            <w:noWrap w:val="0"/>
            <w:vAlign w:val="center"/>
          </w:tcPr>
          <w:p>
            <w:pPr>
              <w:adjustRightInd w:val="0"/>
              <w:snapToGrid w:val="0"/>
              <w:jc w:val="center"/>
              <w:rPr>
                <w:rFonts w:hint="eastAsia"/>
                <w:color w:val="auto"/>
                <w:szCs w:val="21"/>
              </w:rPr>
            </w:pPr>
          </w:p>
        </w:tc>
        <w:tc>
          <w:tcPr>
            <w:tcW w:w="1113" w:type="dxa"/>
            <w:tcBorders>
              <w:tl2br w:val="nil"/>
              <w:tr2bl w:val="nil"/>
            </w:tcBorders>
            <w:noWrap w:val="0"/>
            <w:vAlign w:val="center"/>
          </w:tcPr>
          <w:p>
            <w:pPr>
              <w:adjustRightInd w:val="0"/>
              <w:snapToGrid w:val="0"/>
              <w:jc w:val="center"/>
              <w:rPr>
                <w:color w:val="auto"/>
                <w:szCs w:val="21"/>
              </w:rPr>
            </w:pPr>
            <w:r>
              <w:rPr>
                <w:rFonts w:hint="eastAsia"/>
                <w:color w:val="auto"/>
                <w:szCs w:val="21"/>
              </w:rPr>
              <w:t>自建污水处理系统</w:t>
            </w:r>
          </w:p>
        </w:tc>
        <w:tc>
          <w:tcPr>
            <w:tcW w:w="2012" w:type="dxa"/>
            <w:tcBorders>
              <w:tl2br w:val="nil"/>
              <w:tr2bl w:val="nil"/>
            </w:tcBorders>
            <w:noWrap w:val="0"/>
            <w:vAlign w:val="center"/>
          </w:tcPr>
          <w:p>
            <w:pPr>
              <w:adjustRightInd w:val="0"/>
              <w:snapToGrid w:val="0"/>
              <w:jc w:val="center"/>
              <w:rPr>
                <w:rFonts w:hint="eastAsia"/>
                <w:color w:val="auto"/>
                <w:szCs w:val="21"/>
              </w:rPr>
            </w:pPr>
            <w:r>
              <w:rPr>
                <w:rFonts w:hint="eastAsia"/>
                <w:color w:val="auto"/>
                <w:kern w:val="0"/>
                <w:szCs w:val="21"/>
              </w:rPr>
              <w:t>处理生产废水和经三级化粪池处理后的生活污水</w:t>
            </w:r>
          </w:p>
        </w:tc>
        <w:tc>
          <w:tcPr>
            <w:tcW w:w="4295" w:type="dxa"/>
            <w:tcBorders>
              <w:tl2br w:val="nil"/>
              <w:tr2bl w:val="nil"/>
            </w:tcBorders>
            <w:noWrap w:val="0"/>
            <w:vAlign w:val="center"/>
          </w:tcPr>
          <w:p>
            <w:pPr>
              <w:adjustRightInd w:val="0"/>
              <w:snapToGrid w:val="0"/>
              <w:jc w:val="center"/>
              <w:rPr>
                <w:color w:val="auto"/>
                <w:szCs w:val="21"/>
              </w:rPr>
            </w:pPr>
            <w:r>
              <w:rPr>
                <w:rFonts w:hint="eastAsia"/>
                <w:color w:val="auto"/>
                <w:szCs w:val="21"/>
              </w:rPr>
              <w:t>处理能力为</w:t>
            </w:r>
            <w:r>
              <w:rPr>
                <w:rFonts w:hint="eastAsia"/>
                <w:color w:val="auto"/>
                <w:szCs w:val="21"/>
                <w:lang w:val="en-US" w:eastAsia="zh-CN"/>
              </w:rPr>
              <w:t>10</w:t>
            </w:r>
            <w:r>
              <w:rPr>
                <w:rFonts w:hint="eastAsia"/>
                <w:color w:val="auto"/>
                <w:szCs w:val="21"/>
              </w:rPr>
              <w:t>t/d</w:t>
            </w:r>
            <w:r>
              <w:rPr>
                <w:color w:val="auto"/>
                <w:szCs w:val="21"/>
              </w:rPr>
              <w:t>，</w:t>
            </w:r>
            <w:r>
              <w:rPr>
                <w:color w:val="auto"/>
                <w:kern w:val="0"/>
                <w:szCs w:val="21"/>
              </w:rPr>
              <w:t>采用硬底化防渗设计</w:t>
            </w:r>
            <w:r>
              <w:rPr>
                <w:rFonts w:hint="eastAsia"/>
                <w:color w:val="auto"/>
              </w:rPr>
              <w:t>，处理工艺为“</w:t>
            </w:r>
            <w:r>
              <w:rPr>
                <w:rStyle w:val="18"/>
                <w:rFonts w:hint="eastAsia"/>
                <w:color w:val="auto"/>
                <w:szCs w:val="21"/>
                <w:lang w:val="en-US" w:eastAsia="zh-CN"/>
              </w:rPr>
              <w:t>格栅</w:t>
            </w:r>
            <w:r>
              <w:rPr>
                <w:rStyle w:val="18"/>
                <w:rFonts w:hint="eastAsia"/>
                <w:color w:val="auto"/>
                <w:szCs w:val="21"/>
              </w:rPr>
              <w:t>+</w:t>
            </w:r>
            <w:r>
              <w:rPr>
                <w:rStyle w:val="18"/>
                <w:rFonts w:hint="eastAsia"/>
                <w:color w:val="auto"/>
                <w:szCs w:val="21"/>
                <w:lang w:val="en-US" w:eastAsia="zh-CN"/>
              </w:rPr>
              <w:t>AAO</w:t>
            </w:r>
            <w:r>
              <w:rPr>
                <w:rStyle w:val="18"/>
                <w:rFonts w:hint="eastAsia"/>
                <w:color w:val="auto"/>
                <w:szCs w:val="21"/>
              </w:rPr>
              <w:t>+</w:t>
            </w:r>
            <w:r>
              <w:rPr>
                <w:rStyle w:val="18"/>
                <w:rFonts w:hint="eastAsia"/>
                <w:color w:val="auto"/>
                <w:szCs w:val="21"/>
                <w:lang w:val="en-US" w:eastAsia="zh-CN"/>
              </w:rPr>
              <w:t>沉淀</w:t>
            </w:r>
            <w:r>
              <w:rPr>
                <w:rStyle w:val="18"/>
                <w:rFonts w:hint="eastAsia"/>
                <w:color w:val="auto"/>
                <w:szCs w:val="21"/>
              </w:rPr>
              <w:t>池</w:t>
            </w:r>
            <w:r>
              <w:rPr>
                <w:rFonts w:hint="eastAsia"/>
                <w:color w:val="aut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425" w:type="dxa"/>
            <w:vMerge w:val="restart"/>
            <w:tcBorders>
              <w:tl2br w:val="nil"/>
              <w:tr2bl w:val="nil"/>
            </w:tcBorders>
            <w:noWrap w:val="0"/>
            <w:vAlign w:val="center"/>
          </w:tcPr>
          <w:p>
            <w:pPr>
              <w:adjustRightInd w:val="0"/>
              <w:snapToGrid w:val="0"/>
              <w:jc w:val="center"/>
              <w:rPr>
                <w:color w:val="auto"/>
                <w:szCs w:val="21"/>
              </w:rPr>
            </w:pPr>
            <w:r>
              <w:rPr>
                <w:rFonts w:hint="eastAsia"/>
                <w:color w:val="auto"/>
                <w:szCs w:val="21"/>
              </w:rPr>
              <w:t>固废</w:t>
            </w:r>
          </w:p>
        </w:tc>
        <w:tc>
          <w:tcPr>
            <w:tcW w:w="1113"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一般固废暂存处</w:t>
            </w:r>
          </w:p>
        </w:tc>
        <w:tc>
          <w:tcPr>
            <w:tcW w:w="2012" w:type="dxa"/>
            <w:tcBorders>
              <w:tl2br w:val="nil"/>
              <w:tr2bl w:val="nil"/>
            </w:tcBorders>
            <w:noWrap w:val="0"/>
            <w:vAlign w:val="center"/>
          </w:tcPr>
          <w:p>
            <w:pPr>
              <w:adjustRightInd w:val="0"/>
              <w:snapToGrid w:val="0"/>
              <w:jc w:val="center"/>
              <w:rPr>
                <w:rFonts w:hint="eastAsia"/>
                <w:color w:val="auto"/>
                <w:kern w:val="0"/>
                <w:szCs w:val="21"/>
              </w:rPr>
            </w:pPr>
            <w:r>
              <w:rPr>
                <w:rFonts w:hint="eastAsia"/>
                <w:color w:val="auto"/>
                <w:kern w:val="0"/>
                <w:szCs w:val="21"/>
              </w:rPr>
              <w:t>暂存固体废物</w:t>
            </w:r>
          </w:p>
        </w:tc>
        <w:tc>
          <w:tcPr>
            <w:tcW w:w="4295"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设在厂房外西北面，生产过程中麦槽、热凝固渣和酒花槽、废酵母即产即清，不设置暂存点；收集的粉尘交由饲料加工厂处理；废包装材料、废滤芯、废石英砂、废活性炭、废渗透膜、废阻垢剂</w:t>
            </w:r>
            <w:r>
              <w:rPr>
                <w:rFonts w:hint="eastAsia"/>
                <w:color w:val="auto"/>
                <w:szCs w:val="21"/>
                <w:lang w:eastAsia="zh-CN"/>
              </w:rPr>
              <w:t>、</w:t>
            </w:r>
            <w:r>
              <w:rPr>
                <w:rFonts w:hint="eastAsia"/>
                <w:color w:val="auto"/>
                <w:szCs w:val="21"/>
                <w:lang w:val="en-US" w:eastAsia="zh-CN"/>
              </w:rPr>
              <w:t>废培养基</w:t>
            </w:r>
            <w:r>
              <w:rPr>
                <w:rFonts w:hint="eastAsia"/>
                <w:color w:val="auto"/>
                <w:szCs w:val="21"/>
              </w:rPr>
              <w:t>和污泥收集后暂存在一般固废暂存处定期交由有处理能力的物资回收单位处理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692" w:type="dxa"/>
            <w:vMerge w:val="continue"/>
            <w:tcBorders>
              <w:tl2br w:val="nil"/>
              <w:tr2bl w:val="nil"/>
            </w:tcBorders>
            <w:noWrap w:val="0"/>
            <w:vAlign w:val="center"/>
          </w:tcPr>
          <w:p>
            <w:pPr>
              <w:adjustRightInd w:val="0"/>
              <w:snapToGrid w:val="0"/>
              <w:jc w:val="center"/>
              <w:rPr>
                <w:b/>
                <w:bCs/>
                <w:color w:val="auto"/>
                <w:szCs w:val="21"/>
              </w:rPr>
            </w:pPr>
          </w:p>
        </w:tc>
        <w:tc>
          <w:tcPr>
            <w:tcW w:w="425" w:type="dxa"/>
            <w:vMerge w:val="continue"/>
            <w:tcBorders>
              <w:tl2br w:val="nil"/>
              <w:tr2bl w:val="nil"/>
            </w:tcBorders>
            <w:noWrap w:val="0"/>
            <w:vAlign w:val="center"/>
          </w:tcPr>
          <w:p>
            <w:pPr>
              <w:adjustRightInd w:val="0"/>
              <w:snapToGrid w:val="0"/>
              <w:jc w:val="center"/>
              <w:rPr>
                <w:rFonts w:hint="eastAsia"/>
                <w:color w:val="auto"/>
                <w:szCs w:val="21"/>
              </w:rPr>
            </w:pPr>
          </w:p>
        </w:tc>
        <w:tc>
          <w:tcPr>
            <w:tcW w:w="1113"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危废暂存间</w:t>
            </w:r>
          </w:p>
        </w:tc>
        <w:tc>
          <w:tcPr>
            <w:tcW w:w="2012" w:type="dxa"/>
            <w:tcBorders>
              <w:tl2br w:val="nil"/>
              <w:tr2bl w:val="nil"/>
            </w:tcBorders>
            <w:noWrap w:val="0"/>
            <w:vAlign w:val="center"/>
          </w:tcPr>
          <w:p>
            <w:pPr>
              <w:adjustRightInd w:val="0"/>
              <w:snapToGrid w:val="0"/>
              <w:jc w:val="center"/>
              <w:rPr>
                <w:rFonts w:hint="eastAsia"/>
                <w:color w:val="auto"/>
                <w:kern w:val="0"/>
                <w:szCs w:val="21"/>
              </w:rPr>
            </w:pPr>
            <w:r>
              <w:rPr>
                <w:rFonts w:hint="eastAsia"/>
                <w:color w:val="auto"/>
                <w:szCs w:val="21"/>
              </w:rPr>
              <w:t>暂存危险废物</w:t>
            </w:r>
          </w:p>
        </w:tc>
        <w:tc>
          <w:tcPr>
            <w:tcW w:w="4295" w:type="dxa"/>
            <w:tcBorders>
              <w:tl2br w:val="nil"/>
              <w:tr2bl w:val="nil"/>
            </w:tcBorders>
            <w:noWrap w:val="0"/>
            <w:vAlign w:val="center"/>
          </w:tcPr>
          <w:p>
            <w:pPr>
              <w:adjustRightInd w:val="0"/>
              <w:snapToGrid w:val="0"/>
              <w:jc w:val="center"/>
              <w:rPr>
                <w:rFonts w:hint="eastAsia"/>
                <w:color w:val="auto"/>
                <w:szCs w:val="21"/>
              </w:rPr>
            </w:pPr>
            <w:r>
              <w:rPr>
                <w:rFonts w:hint="eastAsia"/>
                <w:color w:val="auto"/>
                <w:szCs w:val="21"/>
              </w:rPr>
              <w:t>设在厂房外西北面，面积为</w:t>
            </w:r>
            <w:r>
              <w:rPr>
                <w:rFonts w:hint="eastAsia"/>
                <w:color w:val="auto"/>
                <w:szCs w:val="21"/>
                <w:lang w:val="en-US" w:eastAsia="zh-CN"/>
              </w:rPr>
              <w:t>4</w:t>
            </w:r>
            <w:r>
              <w:rPr>
                <w:rFonts w:hint="eastAsia"/>
                <w:color w:val="auto"/>
                <w:szCs w:val="21"/>
              </w:rPr>
              <w:t>m</w:t>
            </w:r>
            <w:r>
              <w:rPr>
                <w:rFonts w:hint="eastAsia"/>
                <w:color w:val="auto"/>
                <w:szCs w:val="21"/>
                <w:vertAlign w:val="superscript"/>
              </w:rPr>
              <w:t>2</w:t>
            </w:r>
            <w:r>
              <w:rPr>
                <w:rFonts w:hint="eastAsia"/>
                <w:color w:val="auto"/>
                <w:szCs w:val="21"/>
              </w:rPr>
              <w:t>（长</w:t>
            </w:r>
            <w:r>
              <w:rPr>
                <w:rFonts w:hint="eastAsia"/>
                <w:color w:val="auto"/>
                <w:szCs w:val="21"/>
                <w:lang w:val="en-US" w:eastAsia="zh-CN"/>
              </w:rPr>
              <w:t>4</w:t>
            </w:r>
            <w:r>
              <w:rPr>
                <w:rFonts w:hint="eastAsia"/>
                <w:color w:val="auto"/>
                <w:szCs w:val="21"/>
              </w:rPr>
              <w:t>m，宽1m）；废机油及含油抹布收集后暂存在危废暂存间，定期交由有资质单位处置</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（五）该项目运营过程中产生的生产粉尘，经袋式除尘器进行处理后经15m高排气筒进行排放，执行</w:t>
      </w:r>
      <w:r>
        <w:rPr>
          <w:rFonts w:hint="default" w:ascii="仿宋_GB2312" w:hAnsi="仿宋_GB2312" w:eastAsia="仿宋_GB2312" w:cs="仿宋_GB2312"/>
          <w:sz w:val="32"/>
          <w:szCs w:val="32"/>
          <w:lang w:val="en-US" w:eastAsia="zh-CN"/>
        </w:rPr>
        <w:t>广东省《大气污染物排放限值》（DB44/27-2001）第二时段</w:t>
      </w:r>
      <w:r>
        <w:rPr>
          <w:rFonts w:hint="eastAsia" w:ascii="仿宋_GB2312" w:hAnsi="仿宋_GB2312" w:eastAsia="仿宋_GB2312" w:cs="仿宋_GB2312"/>
          <w:sz w:val="32"/>
          <w:szCs w:val="32"/>
          <w:lang w:val="en-US" w:eastAsia="zh-CN"/>
        </w:rPr>
        <w:t>二级排放标准和</w:t>
      </w:r>
      <w:r>
        <w:rPr>
          <w:rFonts w:hint="default" w:ascii="仿宋_GB2312" w:hAnsi="仿宋_GB2312" w:eastAsia="仿宋_GB2312" w:cs="仿宋_GB2312"/>
          <w:sz w:val="32"/>
          <w:szCs w:val="32"/>
          <w:lang w:val="en-US" w:eastAsia="zh-CN"/>
        </w:rPr>
        <w:t>无组织排放标准要求</w:t>
      </w:r>
      <w:r>
        <w:rPr>
          <w:rFonts w:hint="eastAsia" w:ascii="仿宋_GB2312" w:hAnsi="仿宋_GB2312" w:eastAsia="仿宋_GB2312" w:cs="仿宋_GB2312"/>
          <w:sz w:val="32"/>
          <w:szCs w:val="32"/>
          <w:lang w:val="en-US" w:eastAsia="zh-CN"/>
        </w:rPr>
        <w:t>；项目麦槽、热凝固渣、废酵母转运过程中产生的</w:t>
      </w:r>
      <w:r>
        <w:rPr>
          <w:rFonts w:hint="eastAsia" w:ascii="仿宋_GB2312" w:hAnsi="仿宋_GB2312" w:eastAsia="仿宋_GB2312" w:cs="仿宋_GB2312"/>
          <w:sz w:val="32"/>
          <w:szCs w:val="32"/>
          <w:lang w:val="en-US" w:eastAsia="zh-CN"/>
        </w:rPr>
        <w:t>异味污水处理过程产生的恶臭执行</w:t>
      </w:r>
      <w:r>
        <w:rPr>
          <w:rFonts w:hint="default" w:ascii="仿宋_GB2312" w:hAnsi="仿宋_GB2312" w:eastAsia="仿宋_GB2312" w:cs="仿宋_GB2312"/>
          <w:sz w:val="32"/>
          <w:szCs w:val="32"/>
          <w:lang w:val="en-US" w:eastAsia="zh-CN"/>
        </w:rPr>
        <w:t>《恶臭污染物排放标准》（GB14554-93）二级标准中新改扩建限值</w:t>
      </w:r>
      <w:r>
        <w:rPr>
          <w:rFonts w:hint="eastAsia" w:ascii="仿宋_GB2312" w:hAnsi="仿宋_GB2312" w:eastAsia="仿宋_GB2312" w:cs="仿宋_GB2312"/>
          <w:sz w:val="32"/>
          <w:szCs w:val="32"/>
          <w:lang w:val="en-US" w:eastAsia="zh-CN"/>
        </w:rPr>
        <w:t>；项目蒸汽发生器使用液化石油气作为燃料，燃烧尾气通过6m高排气筒进行收集后排放，执行</w:t>
      </w:r>
      <w:r>
        <w:rPr>
          <w:rFonts w:hint="default" w:ascii="仿宋_GB2312" w:hAnsi="仿宋_GB2312" w:eastAsia="仿宋_GB2312" w:cs="仿宋_GB2312"/>
          <w:sz w:val="32"/>
          <w:szCs w:val="32"/>
          <w:lang w:val="en-US" w:eastAsia="zh-CN"/>
        </w:rPr>
        <w:t>广东省地方标准《大气污染物排放限值》（DB4427-2001）中第二时段二级排放标准</w:t>
      </w:r>
      <w:r>
        <w:rPr>
          <w:rFonts w:hint="eastAsia" w:ascii="仿宋_GB2312" w:hAnsi="仿宋_GB2312" w:eastAsia="仿宋_GB2312" w:cs="仿宋_GB2312"/>
          <w:sz w:val="32"/>
          <w:szCs w:val="32"/>
          <w:lang w:val="en-US" w:eastAsia="zh-CN"/>
        </w:rPr>
        <w:t>；生活污水经三级化粪池处理后与生产废水汇合，经自建污水处理系统处理后</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通过</w:t>
      </w:r>
      <w:bookmarkStart w:id="0" w:name="_GoBack"/>
      <w:bookmarkEnd w:id="0"/>
      <w:r>
        <w:rPr>
          <w:rFonts w:hint="default" w:ascii="仿宋_GB2312" w:hAnsi="仿宋_GB2312" w:eastAsia="仿宋_GB2312" w:cs="仿宋_GB2312"/>
          <w:sz w:val="32"/>
          <w:szCs w:val="32"/>
          <w:lang w:val="en-US" w:eastAsia="zh-CN"/>
        </w:rPr>
        <w:t>市政管网排入</w:t>
      </w:r>
      <w:r>
        <w:rPr>
          <w:rFonts w:hint="eastAsia" w:ascii="仿宋_GB2312" w:hAnsi="仿宋_GB2312" w:eastAsia="仿宋_GB2312" w:cs="仿宋_GB2312"/>
          <w:sz w:val="32"/>
          <w:szCs w:val="32"/>
          <w:lang w:val="en-US" w:eastAsia="zh-CN"/>
        </w:rPr>
        <w:t>霞山水质净化厂</w:t>
      </w:r>
      <w:r>
        <w:rPr>
          <w:rFonts w:hint="default" w:ascii="仿宋_GB2312" w:hAnsi="仿宋_GB2312" w:eastAsia="仿宋_GB2312" w:cs="仿宋_GB2312"/>
          <w:sz w:val="32"/>
          <w:szCs w:val="32"/>
          <w:lang w:val="en-US" w:eastAsia="zh-CN"/>
        </w:rPr>
        <w:t>处理</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啤酒工业污染物排放标准</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GB19821-2005</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及其2020修改单中表1预处理标准</w:t>
      </w:r>
      <w:r>
        <w:rPr>
          <w:rFonts w:hint="default" w:ascii="仿宋_GB2312" w:hAnsi="仿宋_GB2312" w:eastAsia="仿宋_GB2312" w:cs="仿宋_GB2312"/>
          <w:sz w:val="32"/>
          <w:szCs w:val="32"/>
          <w:lang w:val="en-US" w:eastAsia="zh-CN"/>
        </w:rPr>
        <w:t>及</w:t>
      </w:r>
      <w:r>
        <w:rPr>
          <w:rFonts w:hint="eastAsia" w:ascii="仿宋_GB2312" w:hAnsi="仿宋_GB2312" w:eastAsia="仿宋_GB2312" w:cs="仿宋_GB2312"/>
          <w:sz w:val="32"/>
          <w:szCs w:val="32"/>
          <w:lang w:val="en-US" w:eastAsia="zh-CN"/>
        </w:rPr>
        <w:t>霞山水质净化厂</w:t>
      </w:r>
      <w:r>
        <w:rPr>
          <w:rFonts w:hint="default" w:ascii="仿宋_GB2312" w:hAnsi="仿宋_GB2312" w:eastAsia="仿宋_GB2312" w:cs="仿宋_GB2312"/>
          <w:sz w:val="32"/>
          <w:szCs w:val="32"/>
          <w:lang w:val="en-US" w:eastAsia="zh-CN"/>
        </w:rPr>
        <w:t>入水标准的较严值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厂界噪声</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《工业企业厂界环境噪声排放标准》（GB12348-2008）中</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类标准要求</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pStyle w:val="19"/>
        <w:keepNext w:val="0"/>
        <w:keepLines w:val="0"/>
        <w:pageBreakBefore w:val="0"/>
        <w:widowControl w:val="0"/>
        <w:kinsoku/>
        <w:wordWrap/>
        <w:overflowPunct/>
        <w:topLinePunct w:val="0"/>
        <w:bidi w:val="0"/>
        <w:spacing w:line="560" w:lineRule="exact"/>
        <w:rPr>
          <w:rFonts w:hint="eastAsia" w:ascii="仿宋_GB2312" w:hAnsi="仿宋_GB2312" w:eastAsia="仿宋_GB2312" w:cs="仿宋_GB2312"/>
          <w:sz w:val="32"/>
          <w:szCs w:val="32"/>
        </w:rPr>
      </w:pPr>
    </w:p>
    <w:p>
      <w:pPr>
        <w:pStyle w:val="22"/>
        <w:keepNext w:val="0"/>
        <w:keepLines w:val="0"/>
        <w:pageBreakBefore w:val="0"/>
        <w:widowControl w:val="0"/>
        <w:kinsoku/>
        <w:wordWrap/>
        <w:overflowPunct/>
        <w:topLinePunct w:val="0"/>
        <w:bidi w:val="0"/>
        <w:spacing w:line="560" w:lineRule="exact"/>
        <w:rPr>
          <w:rFonts w:hint="eastAsia"/>
        </w:rPr>
      </w:pPr>
    </w:p>
    <w:p>
      <w:pPr>
        <w:pStyle w:val="8"/>
        <w:keepNext w:val="0"/>
        <w:keepLines w:val="0"/>
        <w:pageBreakBefore w:val="0"/>
        <w:widowControl w:val="0"/>
        <w:kinsoku/>
        <w:wordWrap/>
        <w:overflowPunct/>
        <w:topLinePunct w:val="0"/>
        <w:bidi w:val="0"/>
        <w:spacing w:line="560" w:lineRule="exact"/>
        <w:rPr>
          <w:rFonts w:hint="eastAsia"/>
        </w:rPr>
      </w:pPr>
    </w:p>
    <w:p>
      <w:pPr>
        <w:pStyle w:val="19"/>
        <w:keepNext w:val="0"/>
        <w:keepLines w:val="0"/>
        <w:pageBreakBefore w:val="0"/>
        <w:widowControl w:val="0"/>
        <w:kinsoku/>
        <w:wordWrap/>
        <w:overflowPunct/>
        <w:topLinePunct w:val="0"/>
        <w:bidi w:val="0"/>
        <w:snapToGrid/>
        <w:spacing w:line="56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firstLine="5760" w:firstLineChars="18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2022年10月28日</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9"/>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9505094"/>
    <w:rsid w:val="09505094"/>
    <w:rsid w:val="4B054507"/>
    <w:rsid w:val="5B127989"/>
    <w:rsid w:val="664B1C51"/>
    <w:rsid w:val="670F2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9"/>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List Bullet 2"/>
    <w:basedOn w:val="1"/>
    <w:next w:val="10"/>
    <w:qFormat/>
    <w:uiPriority w:val="0"/>
    <w:pPr>
      <w:numPr>
        <w:ilvl w:val="0"/>
        <w:numId w:val="1"/>
      </w:numPr>
    </w:pPr>
  </w:style>
  <w:style w:type="paragraph" w:customStyle="1" w:styleId="10">
    <w:name w:val="xl70"/>
    <w:basedOn w:val="1"/>
    <w:next w:val="11"/>
    <w:qFormat/>
    <w:uiPriority w:val="0"/>
    <w:pPr>
      <w:widowControl/>
      <w:spacing w:before="280" w:after="280" w:line="240" w:lineRule="auto"/>
      <w:ind w:firstLine="0"/>
    </w:pPr>
    <w:rPr>
      <w:rFonts w:ascii="宋体" w:hAnsi="Times New Roman" w:eastAsia="宋体" w:cs="Times New Roman"/>
    </w:rPr>
  </w:style>
  <w:style w:type="paragraph" w:customStyle="1" w:styleId="11">
    <w:name w:val="正文缩进1"/>
    <w:basedOn w:val="1"/>
    <w:next w:val="12"/>
    <w:qFormat/>
    <w:uiPriority w:val="0"/>
    <w:pPr>
      <w:ind w:firstLine="420" w:firstLineChars="200"/>
    </w:pPr>
    <w:rPr>
      <w:rFonts w:ascii="Times New Roman" w:hAnsi="Times New Roman" w:eastAsia="宋体" w:cs="Times New Roman"/>
      <w:sz w:val="24"/>
      <w:szCs w:val="24"/>
    </w:rPr>
  </w:style>
  <w:style w:type="paragraph" w:customStyle="1" w:styleId="12">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3">
    <w:name w:val="caption"/>
    <w:basedOn w:val="1"/>
    <w:next w:val="1"/>
    <w:qFormat/>
    <w:uiPriority w:val="0"/>
    <w:rPr>
      <w:rFonts w:ascii="Calibri Light" w:hAnsi="Calibri Light" w:eastAsia="黑体" w:cs="Times New Roman"/>
      <w:sz w:val="20"/>
    </w:rPr>
  </w:style>
  <w:style w:type="paragraph" w:styleId="14">
    <w:name w:val="Body Text"/>
    <w:basedOn w:val="1"/>
    <w:qFormat/>
    <w:uiPriority w:val="0"/>
    <w:pPr>
      <w:spacing w:line="0" w:lineRule="atLeast"/>
    </w:pPr>
    <w:rPr>
      <w:rFonts w:eastAsia="小标宋"/>
      <w:sz w:val="44"/>
    </w:rPr>
  </w:style>
  <w:style w:type="paragraph" w:styleId="15">
    <w:name w:val="toc 2"/>
    <w:basedOn w:val="1"/>
    <w:next w:val="4"/>
    <w:qFormat/>
    <w:uiPriority w:val="0"/>
    <w:pPr>
      <w:ind w:left="210"/>
      <w:jc w:val="left"/>
    </w:pPr>
    <w:rPr>
      <w:rFonts w:ascii="Calibri" w:hAnsi="Calibri" w:eastAsia="宋体" w:cs="Calibri"/>
      <w:smallCaps/>
      <w:sz w:val="20"/>
    </w:rPr>
  </w:style>
  <w:style w:type="character" w:styleId="18">
    <w:name w:val="annotation reference"/>
    <w:semiHidden/>
    <w:qFormat/>
    <w:uiPriority w:val="0"/>
    <w:rPr>
      <w:sz w:val="21"/>
    </w:rPr>
  </w:style>
  <w:style w:type="paragraph" w:customStyle="1" w:styleId="19">
    <w:name w:val="Default"/>
    <w:basedOn w:val="20"/>
    <w:next w:val="1"/>
    <w:qFormat/>
    <w:uiPriority w:val="0"/>
    <w:pPr>
      <w:autoSpaceDE w:val="0"/>
      <w:autoSpaceDN w:val="0"/>
    </w:pPr>
    <w:rPr>
      <w:rFonts w:hAnsi="Times New Roman" w:eastAsia="宋体" w:cs="宋体"/>
      <w:color w:val="000000"/>
      <w:sz w:val="24"/>
      <w:szCs w:val="24"/>
    </w:rPr>
  </w:style>
  <w:style w:type="paragraph" w:customStyle="1" w:styleId="20">
    <w:name w:val="纯文本1"/>
    <w:basedOn w:val="1"/>
    <w:next w:val="2"/>
    <w:qFormat/>
    <w:uiPriority w:val="0"/>
    <w:pPr>
      <w:adjustRightInd w:val="0"/>
    </w:pPr>
    <w:rPr>
      <w:rFonts w:ascii="宋体" w:hAnsi="Courier New"/>
      <w:szCs w:val="20"/>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格内文字"/>
    <w:qFormat/>
    <w:uiPriority w:val="0"/>
    <w:pPr>
      <w:tabs>
        <w:tab w:val="left" w:pos="90"/>
      </w:tabs>
      <w:jc w:val="center"/>
    </w:pPr>
    <w:rPr>
      <w:rFonts w:ascii="Times New Roman" w:hAnsi="Times New Roman" w:eastAsia="宋体" w:cs="宋体"/>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2703</Words>
  <Characters>2917</Characters>
  <Lines>0</Lines>
  <Paragraphs>0</Paragraphs>
  <TotalTime>0</TotalTime>
  <ScaleCrop>false</ScaleCrop>
  <LinksUpToDate>false</LinksUpToDate>
  <CharactersWithSpaces>2924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孙不鸦</cp:lastModifiedBy>
  <dcterms:modified xsi:type="dcterms:W3CDTF">2022-10-28T09:14:17Z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BB3408D250114C66822E8BEC96C76DF2</vt:lpwstr>
  </property>
</Properties>
</file>