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18</w:t>
      </w:r>
      <w:r>
        <w:rPr>
          <w:rFonts w:hint="eastAsia" w:ascii="仿宋_GB2312" w:eastAsia="仿宋_GB2312"/>
          <w:sz w:val="32"/>
          <w:szCs w:val="32"/>
        </w:rPr>
        <w:t>号</w:t>
      </w:r>
    </w:p>
    <w:p>
      <w:pPr>
        <w:pStyle w:val="19"/>
        <w:wordWrap/>
        <w:rPr>
          <w:rFonts w:hint="eastAsia"/>
          <w:sz w:val="15"/>
          <w:szCs w:val="15"/>
        </w:rPr>
      </w:pPr>
    </w:p>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关于广东龙环环保科技有限公司年产20000立方米玻璃钢制品项目环境影响报告表</w:t>
      </w:r>
    </w:p>
    <w:p>
      <w:pPr>
        <w:spacing w:line="520" w:lineRule="exact"/>
        <w:jc w:val="center"/>
        <w:rPr>
          <w:rFonts w:ascii="小标宋" w:eastAsia="小标宋"/>
          <w:sz w:val="44"/>
          <w:szCs w:val="44"/>
        </w:rPr>
      </w:pPr>
      <w:r>
        <w:rPr>
          <w:rFonts w:hint="eastAsia" w:ascii="方正小标宋简体" w:hAnsi="方正小标宋简体" w:eastAsia="方正小标宋简体" w:cs="方正小标宋简体"/>
          <w:sz w:val="44"/>
          <w:szCs w:val="44"/>
        </w:rPr>
        <w:t>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广东龙环环保科技有限公司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报批的《广东龙环环保科技有限公司年产20000立方米玻璃钢制品项目</w:t>
      </w:r>
      <w:r>
        <w:rPr>
          <w:rFonts w:hint="eastAsia" w:ascii="仿宋_GB2312" w:hAnsi="仿宋_GB2312" w:eastAsia="仿宋_GB2312" w:cs="仿宋_GB2312"/>
          <w:sz w:val="32"/>
          <w:szCs w:val="32"/>
        </w:rPr>
        <w:t>环境影响报告表》（以下简称“报告表”）等材料收悉。经研究，批复如下：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项目位于</w:t>
      </w:r>
      <w:r>
        <w:rPr>
          <w:rFonts w:hint="default" w:ascii="仿宋_GB2312" w:hAnsi="仿宋_GB2312" w:eastAsia="仿宋_GB2312" w:cs="仿宋_GB2312"/>
          <w:sz w:val="32"/>
          <w:szCs w:val="32"/>
          <w:lang w:val="en-US" w:eastAsia="zh-CN"/>
        </w:rPr>
        <w:t>湛江市霞山区湖光路68号日升大场地，项目建成后年产20000立方米玻璃钢制品，包括年产玻璃钢一体化污水处理设备8200立方米、玻璃钢化粪池8200立方米、玻璃钢隔油池1800立方米、玻璃钢一体化泵站1800立方米。</w:t>
      </w:r>
      <w:r>
        <w:rPr>
          <w:rFonts w:hint="eastAsia" w:ascii="仿宋_GB2312" w:hAnsi="仿宋_GB2312" w:eastAsia="仿宋_GB2312" w:cs="仿宋_GB2312"/>
          <w:sz w:val="32"/>
          <w:szCs w:val="32"/>
          <w:lang w:val="en-US" w:eastAsia="zh-CN"/>
        </w:rPr>
        <w:t>项目主要生产工艺为：</w:t>
      </w:r>
      <w:r>
        <w:rPr>
          <w:rFonts w:hint="eastAsia" w:ascii="仿宋_GB2312" w:hAnsi="仿宋_GB2312" w:eastAsia="仿宋_GB2312" w:cs="仿宋_GB2312"/>
          <w:sz w:val="32"/>
          <w:szCs w:val="32"/>
          <w:lang w:val="en-US" w:eastAsia="zh-CN"/>
        </w:rPr>
        <w:t>简体缠绕→封头制作→切割→打磨→拼接制作→修整→成品。</w:t>
      </w:r>
      <w:r>
        <w:rPr>
          <w:rFonts w:hint="default" w:ascii="仿宋_GB2312" w:hAnsi="仿宋_GB2312" w:eastAsia="仿宋_GB2312" w:cs="仿宋_GB2312"/>
          <w:sz w:val="32"/>
          <w:szCs w:val="32"/>
          <w:lang w:val="en-US" w:eastAsia="zh-CN"/>
        </w:rPr>
        <w:t>项目用地</w:t>
      </w:r>
      <w:r>
        <w:rPr>
          <w:rFonts w:hint="eastAsia" w:ascii="仿宋_GB2312" w:hAnsi="仿宋_GB2312" w:eastAsia="仿宋_GB2312" w:cs="仿宋_GB2312"/>
          <w:sz w:val="32"/>
          <w:szCs w:val="32"/>
          <w:lang w:val="en-US" w:eastAsia="zh-CN"/>
        </w:rPr>
        <w:t>面积</w:t>
      </w:r>
      <w:r>
        <w:rPr>
          <w:rFonts w:hint="default" w:ascii="仿宋_GB2312" w:hAnsi="仿宋_GB2312" w:eastAsia="仿宋_GB2312" w:cs="仿宋_GB2312"/>
          <w:sz w:val="32"/>
          <w:szCs w:val="32"/>
          <w:lang w:val="en-US" w:eastAsia="zh-CN"/>
        </w:rPr>
        <w:t>3004.2</w:t>
      </w:r>
      <w:r>
        <w:rPr>
          <w:rFonts w:hint="eastAsia" w:ascii="仿宋_GB2312" w:hAnsi="仿宋_GB2312" w:eastAsia="仿宋_GB2312" w:cs="仿宋_GB2312"/>
          <w:sz w:val="32"/>
          <w:szCs w:val="32"/>
          <w:lang w:val="en-US" w:eastAsia="zh-CN"/>
        </w:rPr>
        <w:t>平方米</w:t>
      </w:r>
      <w:r>
        <w:rPr>
          <w:rFonts w:hint="default" w:ascii="仿宋_GB2312" w:hAnsi="仿宋_GB2312" w:eastAsia="仿宋_GB2312" w:cs="仿宋_GB2312"/>
          <w:sz w:val="32"/>
          <w:szCs w:val="32"/>
          <w:lang w:val="en-US" w:eastAsia="zh-CN"/>
        </w:rPr>
        <w:t>，总投资1000万元，其中环保投资20万元；项目员工人数为28人，均不在项目内食宿，实行一班制，每天工作8小时，每年工作300天。项目主要建设内容见</w:t>
      </w:r>
      <w:r>
        <w:rPr>
          <w:rFonts w:hint="default" w:ascii="仿宋_GB2312" w:hAnsi="仿宋_GB2312" w:eastAsia="仿宋_GB2312" w:cs="仿宋_GB2312"/>
          <w:sz w:val="32"/>
          <w:szCs w:val="32"/>
          <w:lang w:val="en-US" w:eastAsia="zh-CN"/>
        </w:rPr>
        <w:fldChar w:fldCharType="begin"/>
      </w:r>
      <w:r>
        <w:rPr>
          <w:rFonts w:hint="default" w:ascii="仿宋_GB2312" w:hAnsi="仿宋_GB2312" w:eastAsia="仿宋_GB2312" w:cs="仿宋_GB2312"/>
          <w:sz w:val="32"/>
          <w:szCs w:val="32"/>
          <w:lang w:val="en-US" w:eastAsia="zh-CN"/>
        </w:rPr>
        <w:instrText xml:space="preserve"> REF _Ref1741030331 \h </w:instrText>
      </w:r>
      <w:r>
        <w:rPr>
          <w:rFonts w:hint="default" w:ascii="仿宋_GB2312" w:hAnsi="仿宋_GB2312" w:eastAsia="仿宋_GB2312" w:cs="仿宋_GB2312"/>
          <w:sz w:val="32"/>
          <w:szCs w:val="32"/>
          <w:lang w:val="en-US" w:eastAsia="zh-CN"/>
        </w:rPr>
        <w:fldChar w:fldCharType="separate"/>
      </w:r>
      <w:r>
        <w:rPr>
          <w:rFonts w:hint="default" w:ascii="仿宋_GB2312" w:hAnsi="仿宋_GB2312" w:eastAsia="仿宋_GB2312" w:cs="仿宋_GB2312"/>
          <w:sz w:val="32"/>
          <w:szCs w:val="32"/>
          <w:lang w:val="en-US" w:eastAsia="zh-CN"/>
        </w:rPr>
        <w:t>表1</w:t>
      </w:r>
      <w:r>
        <w:rPr>
          <w:rFonts w:hint="default" w:ascii="仿宋_GB2312" w:hAnsi="仿宋_GB2312" w:eastAsia="仿宋_GB2312" w:cs="仿宋_GB2312"/>
          <w:sz w:val="32"/>
          <w:szCs w:val="32"/>
          <w:lang w:val="en-US" w:eastAsia="zh-CN"/>
        </w:rPr>
        <w:fldChar w:fldCharType="end"/>
      </w:r>
      <w:r>
        <w:rPr>
          <w:rFonts w:hint="default" w:ascii="仿宋_GB2312" w:hAnsi="仿宋_GB2312" w:eastAsia="仿宋_GB2312" w:cs="仿宋_GB2312"/>
          <w:sz w:val="32"/>
          <w:szCs w:val="32"/>
          <w:lang w:val="en-US" w:eastAsia="zh-CN"/>
        </w:rPr>
        <w:t>。</w:t>
      </w:r>
    </w:p>
    <w:p>
      <w:pPr>
        <w:pStyle w:val="18"/>
        <w:keepNext/>
        <w:jc w:val="center"/>
        <w:outlineLvl w:val="1"/>
        <w:rPr>
          <w:rFonts w:hint="default" w:ascii="Times New Roman" w:hAnsi="Times New Roman" w:eastAsia="仿宋_GB2312" w:cs="Times New Roman"/>
          <w:sz w:val="30"/>
          <w:szCs w:val="30"/>
        </w:rPr>
      </w:pPr>
      <w:bookmarkStart w:id="0" w:name="_Ref1741030331"/>
      <w:r>
        <w:rPr>
          <w:rFonts w:hint="default" w:ascii="Times New Roman" w:hAnsi="Times New Roman" w:eastAsia="仿宋_GB2312" w:cs="Times New Roman"/>
          <w:sz w:val="30"/>
          <w:szCs w:val="30"/>
        </w:rPr>
        <w:t xml:space="preserve">表 </w:t>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SEQ 表 \* ARABIC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w:t>
      </w:r>
      <w:r>
        <w:rPr>
          <w:rFonts w:hint="default" w:ascii="Times New Roman" w:hAnsi="Times New Roman" w:eastAsia="仿宋_GB2312" w:cs="Times New Roman"/>
          <w:sz w:val="30"/>
          <w:szCs w:val="30"/>
        </w:rPr>
        <w:fldChar w:fldCharType="end"/>
      </w:r>
      <w:bookmarkEnd w:id="0"/>
      <w:r>
        <w:rPr>
          <w:rFonts w:hint="default" w:ascii="Times New Roman" w:hAnsi="Times New Roman" w:eastAsia="仿宋_GB2312" w:cs="Times New Roman"/>
          <w:sz w:val="30"/>
          <w:szCs w:val="30"/>
        </w:rPr>
        <w:t xml:space="preserve"> 项目主要建设内容及规模</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836"/>
        <w:gridCol w:w="1389"/>
        <w:gridCol w:w="5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工程名称</w:t>
            </w: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建设内容</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规模及用途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主体工程</w:t>
            </w: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生产车间</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单层车间，分为缠绕区、封头和拼接、打磨和切割，建筑面积总共约1000m</w:t>
            </w:r>
            <w:r>
              <w:rPr>
                <w:rFonts w:hint="default" w:ascii="Times New Roman" w:hAnsi="Times New Roman" w:eastAsia="宋体" w:cs="Times New Roman"/>
                <w:color w:val="000000"/>
                <w:sz w:val="21"/>
                <w:szCs w:val="21"/>
                <w:vertAlign w:val="superscript"/>
              </w:rPr>
              <w:t>2</w:t>
            </w:r>
            <w:r>
              <w:rPr>
                <w:rFonts w:hint="default" w:ascii="Times New Roman" w:hAnsi="Times New Roman" w:eastAsia="宋体" w:cs="Times New Roman"/>
                <w:color w:val="000000"/>
                <w:sz w:val="21"/>
                <w:szCs w:val="21"/>
              </w:rPr>
              <w:t>，高5m。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restart"/>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辅助工程</w:t>
            </w: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仓库</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分为化学品仓库</w:t>
            </w:r>
            <w:r>
              <w:rPr>
                <w:rFonts w:hint="eastAsia" w:ascii="Times New Roman" w:hAnsi="Times New Roman" w:eastAsia="宋体" w:cs="Times New Roman"/>
                <w:color w:val="000000"/>
                <w:sz w:val="21"/>
                <w:szCs w:val="21"/>
                <w:lang w:eastAsia="zh-CN"/>
              </w:rPr>
              <w:t>（面积</w:t>
            </w:r>
            <w:r>
              <w:rPr>
                <w:rFonts w:hint="eastAsia" w:ascii="Times New Roman" w:hAnsi="Times New Roman" w:eastAsia="宋体" w:cs="Times New Roman"/>
                <w:color w:val="000000"/>
                <w:sz w:val="21"/>
                <w:szCs w:val="21"/>
                <w:lang w:val="en-US" w:eastAsia="zh-CN"/>
              </w:rPr>
              <w:t>60</w:t>
            </w:r>
            <w:r>
              <w:rPr>
                <w:rFonts w:hint="default" w:ascii="Times New Roman" w:hAnsi="Times New Roman" w:eastAsia="宋体" w:cs="Times New Roman"/>
                <w:color w:val="000000"/>
                <w:sz w:val="21"/>
                <w:szCs w:val="21"/>
              </w:rPr>
              <w:t>m</w:t>
            </w:r>
            <w:r>
              <w:rPr>
                <w:rFonts w:hint="default" w:ascii="Times New Roman" w:hAnsi="Times New Roman" w:eastAsia="宋体" w:cs="Times New Roman"/>
                <w:color w:val="000000"/>
                <w:sz w:val="21"/>
                <w:szCs w:val="21"/>
                <w:vertAlign w:val="superscript"/>
              </w:rPr>
              <w:t>2</w:t>
            </w:r>
            <w:r>
              <w:rPr>
                <w:rFonts w:hint="eastAsia"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和仓库</w:t>
            </w:r>
            <w:r>
              <w:rPr>
                <w:rFonts w:hint="eastAsia" w:ascii="Times New Roman" w:hAnsi="Times New Roman" w:eastAsia="宋体" w:cs="Times New Roman"/>
                <w:color w:val="000000"/>
                <w:sz w:val="21"/>
                <w:szCs w:val="21"/>
                <w:lang w:eastAsia="zh-CN"/>
              </w:rPr>
              <w:t>（面积</w:t>
            </w:r>
            <w:r>
              <w:rPr>
                <w:rFonts w:hint="eastAsia" w:ascii="Times New Roman" w:hAnsi="Times New Roman" w:eastAsia="宋体" w:cs="Times New Roman"/>
                <w:color w:val="000000"/>
                <w:sz w:val="21"/>
                <w:szCs w:val="21"/>
                <w:lang w:val="en-US" w:eastAsia="zh-CN"/>
              </w:rPr>
              <w:t>40</w:t>
            </w:r>
            <w:r>
              <w:rPr>
                <w:rFonts w:hint="default" w:ascii="Times New Roman" w:hAnsi="Times New Roman" w:eastAsia="宋体" w:cs="Times New Roman"/>
                <w:color w:val="000000"/>
                <w:sz w:val="21"/>
                <w:szCs w:val="21"/>
              </w:rPr>
              <w:t>m</w:t>
            </w:r>
            <w:r>
              <w:rPr>
                <w:rFonts w:hint="default" w:ascii="Times New Roman" w:hAnsi="Times New Roman" w:eastAsia="宋体" w:cs="Times New Roman"/>
                <w:color w:val="000000"/>
                <w:sz w:val="21"/>
                <w:szCs w:val="21"/>
                <w:vertAlign w:val="superscript"/>
              </w:rPr>
              <w:t>2</w:t>
            </w:r>
            <w:r>
              <w:rPr>
                <w:rFonts w:hint="eastAsia"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，用于原辅材料的临时堆放</w:t>
            </w:r>
            <w:r>
              <w:rPr>
                <w:rFonts w:hint="eastAsia" w:ascii="Times New Roman" w:hAnsi="Times New Roman" w:eastAsia="宋体" w:cs="Times New Roman"/>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办公区域</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位于生产车间内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堆放区</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用于成品堆放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restart"/>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公用工程</w:t>
            </w: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给水系统</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由市政供水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排水系统</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采用雨污分流制，雨水经雨水口汇集后就近排入市政雨水管网。项目生活污水经三级化粪池处理达标后通过市政污水管网进入霞山水质净化厂集中处理，最终排入南柳河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2322" w:type="dxa"/>
            <w:gridSpan w:val="2"/>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供电</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市政供电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restart"/>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环保工程</w:t>
            </w:r>
          </w:p>
        </w:tc>
        <w:tc>
          <w:tcPr>
            <w:tcW w:w="874"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废水</w:t>
            </w: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生活污水</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生活污水经三级化粪池处理达标后通过市政污水管网进入霞山水质净化厂集中处理，最终排入南柳河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restart"/>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废气</w:t>
            </w: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粉尘</w:t>
            </w:r>
          </w:p>
        </w:tc>
        <w:tc>
          <w:tcPr>
            <w:tcW w:w="5590" w:type="dxa"/>
            <w:noWrap w:val="0"/>
            <w:vAlign w:val="center"/>
          </w:tcPr>
          <w:p>
            <w:pPr>
              <w:pStyle w:val="2"/>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加强车间通风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非甲烷总烃</w:t>
            </w:r>
          </w:p>
        </w:tc>
        <w:tc>
          <w:tcPr>
            <w:tcW w:w="5590" w:type="dxa"/>
            <w:vMerge w:val="restart"/>
            <w:noWrap w:val="0"/>
            <w:vAlign w:val="center"/>
          </w:tcPr>
          <w:p>
            <w:pPr>
              <w:pStyle w:val="2"/>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分别经整室收集和集气罩收集后，通过“两级活性炭吸附”处理达标后通过15m高的排气筒排放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苯乙烯</w:t>
            </w:r>
          </w:p>
        </w:tc>
        <w:tc>
          <w:tcPr>
            <w:tcW w:w="5590" w:type="dxa"/>
            <w:vMerge w:val="continue"/>
            <w:noWrap w:val="0"/>
            <w:vAlign w:val="center"/>
          </w:tcPr>
          <w:p>
            <w:pPr>
              <w:pStyle w:val="2"/>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VOCs</w:t>
            </w:r>
          </w:p>
        </w:tc>
        <w:tc>
          <w:tcPr>
            <w:tcW w:w="5590" w:type="dxa"/>
            <w:vMerge w:val="continue"/>
            <w:noWrap w:val="0"/>
            <w:vAlign w:val="center"/>
          </w:tcPr>
          <w:p>
            <w:pPr>
              <w:pStyle w:val="2"/>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restart"/>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固废</w:t>
            </w: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生活垃圾</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bCs/>
                <w:color w:val="000000"/>
                <w:kern w:val="0"/>
                <w:sz w:val="21"/>
                <w:szCs w:val="21"/>
              </w:rPr>
              <w:t>由环卫部门统一收集处理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一般固体废物</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bCs/>
                <w:color w:val="000000"/>
                <w:kern w:val="0"/>
                <w:sz w:val="21"/>
                <w:szCs w:val="21"/>
              </w:rPr>
              <w:t>边角料收集分类，外售回收商回收利用；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危险废物</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定期交有危险废物处理资质的单位处理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噪声</w:t>
            </w: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噪声</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基础减振，墙体隔音，距离衰减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48" w:type="dxa"/>
            <w:vMerge w:val="continue"/>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p>
        </w:tc>
        <w:tc>
          <w:tcPr>
            <w:tcW w:w="874"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lang w:eastAsia="zh-CN"/>
              </w:rPr>
              <w:t>环境风险</w:t>
            </w:r>
          </w:p>
        </w:tc>
        <w:tc>
          <w:tcPr>
            <w:tcW w:w="1448"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lang w:eastAsia="zh-CN"/>
              </w:rPr>
              <w:t>风险防范</w:t>
            </w:r>
          </w:p>
        </w:tc>
        <w:tc>
          <w:tcPr>
            <w:tcW w:w="5590" w:type="dxa"/>
            <w:noWrap w:val="0"/>
            <w:vAlign w:val="center"/>
          </w:tcPr>
          <w:p>
            <w:pPr>
              <w:keepNext w:val="0"/>
              <w:keepLines w:val="0"/>
              <w:pageBreakBefore w:val="0"/>
              <w:widowControl w:val="0"/>
              <w:kinsoku/>
              <w:wordWrap/>
              <w:overflowPunct/>
              <w:topLinePunct w:val="0"/>
              <w:bidi w:val="0"/>
              <w:adjustRightInd w:val="0"/>
              <w:snapToGrid w:val="0"/>
              <w:ind w:firstLine="0" w:firstLineChars="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化学品仓和危废仓防渗防漏，设置容积不小于176.78m</w:t>
            </w:r>
            <w:r>
              <w:rPr>
                <w:rFonts w:hint="default" w:ascii="Times New Roman" w:hAnsi="Times New Roman" w:eastAsia="宋体" w:cs="Times New Roman"/>
                <w:color w:val="000000"/>
                <w:sz w:val="21"/>
                <w:szCs w:val="21"/>
                <w:vertAlign w:val="superscript"/>
              </w:rPr>
              <w:t>3</w:t>
            </w:r>
            <w:r>
              <w:rPr>
                <w:rFonts w:hint="default" w:ascii="Times New Roman" w:hAnsi="Times New Roman" w:eastAsia="宋体" w:cs="Times New Roman"/>
                <w:color w:val="000000"/>
                <w:sz w:val="21"/>
                <w:szCs w:val="21"/>
              </w:rPr>
              <w:t>的事故应急池，并配套事故应急池阀门等收集措施确保事故产生的消防废水等事故废水进入事故应急池。</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根据报告表的评价结论及湛江市</w:t>
      </w:r>
      <w:r>
        <w:rPr>
          <w:rFonts w:hint="eastAsia" w:ascii="仿宋_GB2312" w:hAnsi="仿宋_GB2312" w:eastAsia="仿宋_GB2312" w:cs="仿宋_GB2312"/>
          <w:sz w:val="32"/>
          <w:szCs w:val="32"/>
          <w:lang w:val="en-US" w:eastAsia="zh-CN"/>
        </w:rPr>
        <w:t>生态环境技术中心</w:t>
      </w:r>
      <w:r>
        <w:rPr>
          <w:rFonts w:hint="eastAsia" w:ascii="仿宋_GB2312" w:hAnsi="仿宋_GB2312" w:eastAsia="仿宋_GB2312" w:cs="仿宋_GB2312"/>
          <w:sz w:val="32"/>
          <w:szCs w:val="32"/>
        </w:rPr>
        <w:t>《关于</w:t>
      </w:r>
      <w:r>
        <w:rPr>
          <w:rFonts w:hint="default" w:ascii="仿宋_GB2312" w:hAnsi="仿宋_GB2312" w:eastAsia="仿宋_GB2312" w:cs="仿宋_GB2312"/>
          <w:sz w:val="32"/>
          <w:szCs w:val="32"/>
          <w:lang w:eastAsia="zh-CN"/>
        </w:rPr>
        <w:t>广东龙环环保科技有限公司年产20000立方米玻璃钢制品项目</w:t>
      </w:r>
      <w:r>
        <w:rPr>
          <w:rFonts w:hint="eastAsia" w:ascii="仿宋_GB2312" w:hAnsi="仿宋_GB2312" w:eastAsia="仿宋_GB2312" w:cs="仿宋_GB2312"/>
          <w:sz w:val="32"/>
          <w:szCs w:val="32"/>
        </w:rPr>
        <w:t>环境影响报告表的评估意见》（湛环技评表〔20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74</w:t>
      </w:r>
      <w:r>
        <w:rPr>
          <w:rFonts w:hint="eastAsia" w:ascii="仿宋_GB2312" w:hAnsi="仿宋_GB2312" w:eastAsia="仿宋_GB2312" w:cs="仿宋_GB2312"/>
          <w:sz w:val="32"/>
          <w:szCs w:val="32"/>
        </w:rPr>
        <w:t>号），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）该项目生产过程产生的固体废物须严格按照有关规范管理，做好储存场所的防渗防漏措施，不能随意堆放，如实记录产生固体废物的种类、数量、利用、贮存、处置、流向等信息，存档备查。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（五）该项目运营过程中产生的有机废气</w:t>
      </w:r>
      <w:r>
        <w:rPr>
          <w:rFonts w:hint="default" w:ascii="仿宋_GB2312" w:hAnsi="仿宋_GB2312" w:eastAsia="仿宋_GB2312" w:cs="仿宋_GB2312"/>
          <w:sz w:val="32"/>
          <w:szCs w:val="32"/>
          <w:lang w:val="en-US" w:eastAsia="zh-CN"/>
        </w:rPr>
        <w:t>通过“两级活性炭吸附”处理后，</w:t>
      </w:r>
      <w:bookmarkStart w:id="1" w:name="_GoBack"/>
      <w:bookmarkEnd w:id="1"/>
      <w:r>
        <w:rPr>
          <w:rFonts w:hint="default" w:ascii="仿宋_GB2312" w:hAnsi="仿宋_GB2312" w:eastAsia="仿宋_GB2312" w:cs="仿宋_GB2312"/>
          <w:sz w:val="32"/>
          <w:szCs w:val="32"/>
          <w:lang w:val="en-US" w:eastAsia="zh-CN"/>
        </w:rPr>
        <w:t>通过15m排气筒（DA001）高空排放，有组织排放的</w:t>
      </w:r>
      <w:r>
        <w:rPr>
          <w:rFonts w:hint="default" w:ascii="仿宋_GB2312" w:hAnsi="仿宋_GB2312" w:eastAsia="仿宋_GB2312" w:cs="仿宋_GB2312"/>
          <w:sz w:val="32"/>
          <w:szCs w:val="32"/>
          <w:lang w:eastAsia="zh-CN"/>
        </w:rPr>
        <w:t>苯系物、NMHC、TVOC执行广东省地方标准《固定污染源挥发性有机物综合排放标准》（DB44/2367-2022）</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lang w:val="en-US" w:eastAsia="zh-CN"/>
        </w:rPr>
        <w:t>1挥发性有机物排放限值，厂界无组织排放总VOCs参照执行广东省地方标准《家具制造行业挥发性有机化合物排放标准》（DB44/814-2010）无组织排放监控点浓度限值，厂区内无组织排放的NMHC执行广东省地方标准《固定污染源挥发性有机物综合排放标准》（DB44/2367-2022）表3厂区内VOCs无组织排放限值的要求；</w:t>
      </w:r>
      <w:r>
        <w:rPr>
          <w:rFonts w:hint="default" w:ascii="仿宋_GB2312" w:hAnsi="仿宋_GB2312" w:eastAsia="仿宋_GB2312" w:cs="仿宋_GB2312"/>
          <w:sz w:val="32"/>
          <w:szCs w:val="32"/>
          <w:lang w:eastAsia="zh-CN"/>
        </w:rPr>
        <w:t>粉尘使用集气罩收集后通过袋式除尘处理后通过15m排气筒（DA002）高空排放，颗粒物执行广东省地方标准《大气污染物排放限值》（DB44/27-2001）第二时段二级标准及无组织排放监控浓度限值</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生活污水</w:t>
      </w:r>
      <w:r>
        <w:rPr>
          <w:rFonts w:hint="default" w:ascii="仿宋_GB2312" w:hAnsi="仿宋_GB2312" w:eastAsia="仿宋_GB2312" w:cs="仿宋_GB2312"/>
          <w:sz w:val="32"/>
          <w:szCs w:val="32"/>
          <w:lang w:val="en-GB" w:eastAsia="zh-TW"/>
        </w:rPr>
        <w:t>经三级化粪池预处理</w:t>
      </w:r>
      <w:r>
        <w:rPr>
          <w:rFonts w:hint="default" w:ascii="仿宋_GB2312" w:hAnsi="仿宋_GB2312" w:eastAsia="仿宋_GB2312" w:cs="仿宋_GB2312"/>
          <w:sz w:val="32"/>
          <w:szCs w:val="32"/>
          <w:lang w:eastAsia="zh-CN"/>
        </w:rPr>
        <w:t>达到广东省地方标准《水污染物排放限值》（DB44/26-2001）中第二时段三级标准和霞山水质净化厂进水水质标准较严值后，</w:t>
      </w:r>
      <w:r>
        <w:rPr>
          <w:rFonts w:hint="default" w:ascii="仿宋_GB2312" w:hAnsi="仿宋_GB2312" w:eastAsia="仿宋_GB2312" w:cs="仿宋_GB2312"/>
          <w:sz w:val="32"/>
          <w:szCs w:val="32"/>
          <w:lang w:val="en-GB" w:eastAsia="zh-TW"/>
        </w:rPr>
        <w:t>通过厂区现有的排水设施排入市政污水管网，进入</w:t>
      </w:r>
      <w:r>
        <w:rPr>
          <w:rFonts w:hint="default" w:ascii="仿宋_GB2312" w:hAnsi="仿宋_GB2312" w:eastAsia="仿宋_GB2312" w:cs="仿宋_GB2312"/>
          <w:sz w:val="32"/>
          <w:szCs w:val="32"/>
          <w:lang w:eastAsia="zh-CN"/>
        </w:rPr>
        <w:t>霞山水质净化厂</w:t>
      </w:r>
      <w:r>
        <w:rPr>
          <w:rFonts w:hint="default" w:ascii="仿宋_GB2312" w:hAnsi="仿宋_GB2312" w:eastAsia="仿宋_GB2312" w:cs="仿宋_GB2312"/>
          <w:sz w:val="32"/>
          <w:szCs w:val="32"/>
          <w:lang w:val="en-GB" w:eastAsia="zh-TW"/>
        </w:rPr>
        <w:t>深度处理</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eastAsia="zh-CN"/>
        </w:rPr>
        <w:t>厂界噪声</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《工业企业厂界环境噪声排放标准》（GB12348-2008）中</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类标准要求</w:t>
      </w:r>
      <w:r>
        <w:rPr>
          <w:rFonts w:hint="default" w:ascii="仿宋_GB2312" w:hAnsi="仿宋_GB2312" w:eastAsia="仿宋_GB2312" w:cs="仿宋_GB2312"/>
          <w:sz w:val="32"/>
          <w:szCs w:val="32"/>
          <w:lang w:val="en-GB" w:eastAsia="zh-TW"/>
        </w:rPr>
        <w:t>。</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2"/>
        <w:keepNext w:val="0"/>
        <w:keepLines w:val="0"/>
        <w:pageBreakBefore w:val="0"/>
        <w:widowControl w:val="0"/>
        <w:kinsoku/>
        <w:wordWrap/>
        <w:overflowPunct/>
        <w:topLinePunct w:val="0"/>
        <w:bidi w:val="0"/>
        <w:spacing w:line="560" w:lineRule="exact"/>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bidi w:val="0"/>
        <w:spacing w:line="560" w:lineRule="exact"/>
        <w:rPr>
          <w:rFonts w:hint="eastAsia"/>
        </w:rPr>
      </w:pPr>
    </w:p>
    <w:p>
      <w:pPr>
        <w:pStyle w:val="13"/>
        <w:keepNext w:val="0"/>
        <w:keepLines w:val="0"/>
        <w:pageBreakBefore w:val="0"/>
        <w:widowControl w:val="0"/>
        <w:kinsoku/>
        <w:wordWrap/>
        <w:overflowPunct/>
        <w:topLinePunct w:val="0"/>
        <w:bidi w:val="0"/>
        <w:spacing w:line="560" w:lineRule="exact"/>
        <w:rPr>
          <w:rFonts w:hint="eastAsia"/>
        </w:rPr>
      </w:pPr>
    </w:p>
    <w:p>
      <w:pPr>
        <w:pStyle w:val="2"/>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firstLine="5760" w:firstLineChars="18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2022年10月14日</w:t>
      </w:r>
    </w:p>
    <w:p>
      <w:pPr>
        <w:pStyle w:val="2"/>
        <w:ind w:left="0" w:leftChars="0" w:firstLine="0" w:firstLineChars="0"/>
        <w:rPr>
          <w:rFonts w:hint="eastAsia" w:ascii="仿宋_GB2312" w:hAnsi="仿宋_GB2312" w:eastAsia="仿宋_GB2312" w:cs="仿宋_GB2312"/>
          <w:sz w:val="32"/>
          <w:szCs w:val="32"/>
          <w:lang w:val="en-US" w:eastAsia="zh-CN"/>
        </w:rPr>
      </w:pPr>
    </w:p>
    <w:p>
      <w:pPr>
        <w:spacing w:line="520" w:lineRule="exact"/>
        <w:jc w:val="both"/>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41ABF"/>
    <w:multiLevelType w:val="singleLevel"/>
    <w:tmpl w:val="06941ABF"/>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F6F3190"/>
    <w:rsid w:val="0F6F3190"/>
    <w:rsid w:val="137E5204"/>
    <w:rsid w:val="62CF7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character" w:default="1" w:styleId="22">
    <w:name w:val="Default Paragraph Font"/>
    <w:semiHidden/>
    <w:uiPriority w:val="0"/>
  </w:style>
  <w:style w:type="table" w:default="1" w:styleId="21">
    <w:name w:val="Normal Table"/>
    <w:semiHidden/>
    <w:uiPriority w:val="0"/>
    <w:tblPr>
      <w:tblCellMar>
        <w:top w:w="0" w:type="dxa"/>
        <w:left w:w="108" w:type="dxa"/>
        <w:bottom w:w="0" w:type="dxa"/>
        <w:right w:w="108" w:type="dxa"/>
      </w:tblCellMar>
    </w:tblPr>
  </w:style>
  <w:style w:type="paragraph" w:customStyle="1" w:styleId="2">
    <w:name w:val="Default"/>
    <w:basedOn w:val="3"/>
    <w:next w:val="4"/>
    <w:qFormat/>
    <w:uiPriority w:val="0"/>
    <w:pPr>
      <w:autoSpaceDE w:val="0"/>
      <w:autoSpaceDN w:val="0"/>
    </w:pPr>
    <w:rPr>
      <w:rFonts w:hAnsi="Times New Roman" w:eastAsia="宋体" w:cs="宋体"/>
      <w:color w:val="000000"/>
      <w:sz w:val="24"/>
      <w:szCs w:val="24"/>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spacing w:line="312" w:lineRule="auto"/>
      <w:ind w:firstLine="567"/>
    </w:pPr>
    <w:rPr>
      <w:rFonts w:ascii="宋体" w:hAnsi="Times New Roman" w:eastAsia="宋体" w:cs="Times New Roman"/>
      <w:sz w:val="28"/>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280" w:after="280" w:line="240" w:lineRule="auto"/>
      <w:ind w:firstLine="0"/>
    </w:pPr>
    <w:rPr>
      <w:rFonts w:ascii="Times New Roman" w:hAnsi="Times New Roman" w:eastAsia="宋体" w:cs="Times New Roman"/>
      <w:sz w:val="21"/>
    </w:rPr>
  </w:style>
  <w:style w:type="paragraph" w:styleId="7">
    <w:name w:val="toc 2"/>
    <w:basedOn w:val="1"/>
    <w:next w:val="8"/>
    <w:qFormat/>
    <w:uiPriority w:val="0"/>
    <w:pPr>
      <w:ind w:left="210"/>
      <w:jc w:val="left"/>
    </w:pPr>
    <w:rPr>
      <w:rFonts w:ascii="Calibri" w:hAnsi="Calibri" w:eastAsia="宋体" w:cs="Calibri"/>
      <w:smallCaps/>
      <w:sz w:val="20"/>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qFormat/>
    <w:uiPriority w:val="0"/>
    <w:pPr>
      <w:adjustRightInd w:val="0"/>
      <w:spacing w:line="288" w:lineRule="auto"/>
      <w:ind w:left="200" w:hanging="200" w:hangingChars="200"/>
      <w:textAlignment w:val="baseline"/>
    </w:pPr>
    <w:rPr>
      <w:rFonts w:ascii="Calibri" w:hAnsi="Calibri"/>
      <w:kern w:val="0"/>
      <w:sz w:val="24"/>
    </w:rPr>
  </w:style>
  <w:style w:type="paragraph" w:styleId="14">
    <w:name w:val="List Bullet 2"/>
    <w:basedOn w:val="1"/>
    <w:next w:val="15"/>
    <w:uiPriority w:val="0"/>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8">
    <w:name w:val="caption"/>
    <w:basedOn w:val="1"/>
    <w:next w:val="1"/>
    <w:qFormat/>
    <w:uiPriority w:val="0"/>
    <w:rPr>
      <w:rFonts w:ascii="Calibri Light" w:hAnsi="Calibri Light" w:eastAsia="黑体" w:cs="Times New Roman"/>
      <w:sz w:val="20"/>
    </w:rPr>
  </w:style>
  <w:style w:type="paragraph" w:styleId="19">
    <w:name w:val="Body Text"/>
    <w:basedOn w:val="1"/>
    <w:qFormat/>
    <w:uiPriority w:val="0"/>
    <w:pPr>
      <w:spacing w:line="0" w:lineRule="atLeast"/>
    </w:pPr>
    <w:rPr>
      <w:rFonts w:eastAsia="小标宋"/>
      <w:sz w:val="44"/>
    </w:rPr>
  </w:style>
  <w:style w:type="paragraph" w:styleId="20">
    <w:name w:val="Plain Text"/>
    <w:basedOn w:val="1"/>
    <w:next w:val="1"/>
    <w:qFormat/>
    <w:uiPriority w:val="0"/>
    <w:rPr>
      <w:rFonts w:ascii="宋体" w:hAnsi="Courier New"/>
      <w:szCs w:val="21"/>
    </w:rPr>
  </w:style>
  <w:style w:type="paragraph" w:customStyle="1" w:styleId="23">
    <w:name w:val="纯文本1"/>
    <w:basedOn w:val="1"/>
    <w:next w:val="20"/>
    <w:qFormat/>
    <w:uiPriority w:val="0"/>
    <w:pPr>
      <w:adjustRightInd w:val="0"/>
    </w:pPr>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1947</Words>
  <Characters>2140</Characters>
  <Lines>0</Lines>
  <Paragraphs>0</Paragraphs>
  <TotalTime>11</TotalTime>
  <ScaleCrop>false</ScaleCrop>
  <LinksUpToDate>false</LinksUpToDate>
  <CharactersWithSpaces>2142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2022-10-14T08:39:00Z</dcterms:created>
  <dc:creator>孙不鸦</dc:creator>
  <cp:lastModifiedBy>孙不鸦</cp:lastModifiedBy>
  <dcterms:modified xsi:type="dcterms:W3CDTF">2022-10-14T09:32:48Z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7D58DC0CF36D4F278A5D5FB9B70250E4</vt:lpwstr>
  </property>
</Properties>
</file>