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420"/>
        </w:tabs>
        <w:wordWrap w:val="0"/>
        <w:spacing w:line="580" w:lineRule="exact"/>
        <w:jc w:val="right"/>
        <w:rPr>
          <w:rFonts w:hint="eastAsia" w:ascii="仿宋_GB2312" w:hAnsi="仿宋_GB2312" w:eastAsia="仿宋_GB2312" w:cs="仿宋_GB2312"/>
          <w:sz w:val="32"/>
          <w:szCs w:val="32"/>
        </w:rPr>
      </w:pPr>
    </w:p>
    <w:p>
      <w:pPr>
        <w:pStyle w:val="20"/>
        <w:wordWrap/>
        <w:rPr>
          <w:rFonts w:hint="eastAsia" w:ascii="仿宋_GB2312" w:hAnsi="仿宋_GB2312" w:eastAsia="仿宋_GB2312" w:cs="仿宋_GB2312"/>
          <w:sz w:val="32"/>
          <w:szCs w:val="32"/>
        </w:rPr>
      </w:pPr>
    </w:p>
    <w:p>
      <w:pPr>
        <w:spacing w:line="480" w:lineRule="exact"/>
        <w:jc w:val="right"/>
        <w:rPr>
          <w:rFonts w:hint="eastAsia" w:ascii="仿宋_GB2312" w:eastAsia="仿宋_GB2312"/>
          <w:sz w:val="32"/>
        </w:rPr>
      </w:pPr>
      <w:r>
        <w:rPr>
          <w:rFonts w:hint="eastAsia" w:ascii="仿宋_GB2312" w:eastAsia="仿宋_GB2312"/>
          <w:sz w:val="32"/>
        </w:rPr>
        <w:t>湛环建霞〔20</w:t>
      </w:r>
      <w:r>
        <w:rPr>
          <w:rFonts w:hint="eastAsia" w:ascii="仿宋_GB2312" w:eastAsia="仿宋_GB2312"/>
          <w:sz w:val="32"/>
          <w:lang w:val="en-US" w:eastAsia="zh-CN"/>
        </w:rPr>
        <w:t>22</w:t>
      </w:r>
      <w:r>
        <w:rPr>
          <w:rFonts w:hint="eastAsia" w:ascii="仿宋_GB2312" w:eastAsia="仿宋_GB2312"/>
          <w:sz w:val="32"/>
        </w:rPr>
        <w:t>〕</w:t>
      </w:r>
      <w:r>
        <w:rPr>
          <w:rFonts w:hint="eastAsia" w:ascii="仿宋_GB2312" w:eastAsia="仿宋_GB2312"/>
          <w:sz w:val="32"/>
          <w:lang w:val="en-US" w:eastAsia="zh-CN"/>
        </w:rPr>
        <w:t>17</w:t>
      </w:r>
      <w:r>
        <w:rPr>
          <w:rFonts w:hint="eastAsia" w:ascii="仿宋_GB2312" w:eastAsia="仿宋_GB2312"/>
          <w:sz w:val="32"/>
        </w:rPr>
        <w:t>号</w:t>
      </w:r>
    </w:p>
    <w:p>
      <w:pPr>
        <w:spacing w:line="540" w:lineRule="exact"/>
        <w:rPr>
          <w:rFonts w:hint="eastAsia" w:ascii="仿宋_GB2312" w:eastAsia="仿宋_GB2312"/>
          <w:sz w:val="32"/>
          <w:szCs w:val="20"/>
        </w:rPr>
      </w:pPr>
    </w:p>
    <w:p>
      <w:pPr>
        <w:spacing w:line="520" w:lineRule="exact"/>
        <w:jc w:val="center"/>
        <w:rPr>
          <w:rFonts w:hint="eastAsia" w:ascii="方正小标宋简体" w:hAnsi="方正小标宋简体" w:eastAsia="方正小标宋简体" w:cs="方正小标宋简体"/>
          <w:w w:val="95"/>
          <w:sz w:val="44"/>
          <w:szCs w:val="44"/>
        </w:rPr>
      </w:pPr>
      <w:r>
        <w:rPr>
          <w:rFonts w:hint="eastAsia" w:ascii="方正小标宋简体" w:hAnsi="方正小标宋简体" w:eastAsia="方正小标宋简体" w:cs="方正小标宋简体"/>
          <w:w w:val="95"/>
          <w:sz w:val="44"/>
          <w:szCs w:val="44"/>
        </w:rPr>
        <w:t>关于</w:t>
      </w:r>
      <w:r>
        <w:rPr>
          <w:rFonts w:hint="eastAsia" w:ascii="方正小标宋简体" w:hAnsi="方正小标宋简体" w:eastAsia="方正小标宋简体" w:cs="方正小标宋简体"/>
          <w:w w:val="95"/>
          <w:sz w:val="44"/>
          <w:szCs w:val="44"/>
          <w:lang w:eastAsia="zh-CN"/>
        </w:rPr>
        <w:t>湛江市</w:t>
      </w:r>
      <w:r>
        <w:rPr>
          <w:rFonts w:hint="eastAsia" w:ascii="方正小标宋简体" w:hAnsi="方正小标宋简体" w:eastAsia="方正小标宋简体" w:cs="方正小标宋简体"/>
          <w:w w:val="95"/>
          <w:sz w:val="44"/>
          <w:szCs w:val="44"/>
          <w:lang w:val="en-US" w:eastAsia="zh-CN"/>
        </w:rPr>
        <w:t>鸿达石化有限公司包装桶周转暂存库</w:t>
      </w:r>
      <w:r>
        <w:rPr>
          <w:rFonts w:hint="eastAsia" w:ascii="方正小标宋简体" w:hAnsi="方正小标宋简体" w:eastAsia="方正小标宋简体" w:cs="方正小标宋简体"/>
          <w:w w:val="95"/>
          <w:sz w:val="44"/>
          <w:szCs w:val="44"/>
          <w:lang w:eastAsia="zh-CN"/>
        </w:rPr>
        <w:t>项目</w:t>
      </w:r>
      <w:r>
        <w:rPr>
          <w:rFonts w:hint="eastAsia" w:ascii="方正小标宋简体" w:hAnsi="方正小标宋简体" w:eastAsia="方正小标宋简体" w:cs="方正小标宋简体"/>
          <w:w w:val="95"/>
          <w:sz w:val="44"/>
          <w:szCs w:val="44"/>
        </w:rPr>
        <w:t>环境影响报告表的批复</w:t>
      </w:r>
    </w:p>
    <w:p>
      <w:pPr>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湛江市</w:t>
      </w:r>
      <w:r>
        <w:rPr>
          <w:rFonts w:hint="eastAsia" w:ascii="仿宋_GB2312" w:hAnsi="仿宋_GB2312" w:eastAsia="仿宋_GB2312" w:cs="仿宋_GB2312"/>
          <w:sz w:val="32"/>
          <w:szCs w:val="32"/>
          <w:lang w:val="en-US" w:eastAsia="zh-CN"/>
        </w:rPr>
        <w:t>鸿达石化有限公司</w:t>
      </w:r>
      <w:bookmarkStart w:id="0" w:name="_GoBack"/>
      <w:bookmarkEnd w:id="0"/>
      <w:r>
        <w:rPr>
          <w:rFonts w:hint="eastAsia"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你单位报批的《</w:t>
      </w:r>
      <w:r>
        <w:rPr>
          <w:rFonts w:hint="eastAsia" w:ascii="仿宋_GB2312" w:hAnsi="仿宋_GB2312" w:eastAsia="仿宋_GB2312" w:cs="仿宋_GB2312"/>
          <w:sz w:val="32"/>
          <w:szCs w:val="32"/>
          <w:lang w:eastAsia="zh-CN"/>
        </w:rPr>
        <w:t>湛江市</w:t>
      </w:r>
      <w:r>
        <w:rPr>
          <w:rFonts w:hint="eastAsia" w:ascii="仿宋_GB2312" w:hAnsi="仿宋_GB2312" w:eastAsia="仿宋_GB2312" w:cs="仿宋_GB2312"/>
          <w:sz w:val="32"/>
          <w:szCs w:val="32"/>
          <w:lang w:val="en-US" w:eastAsia="zh-CN"/>
        </w:rPr>
        <w:t>鸿达石化有限公司包装桶周转暂存库</w:t>
      </w:r>
      <w:r>
        <w:rPr>
          <w:rFonts w:hint="eastAsia" w:ascii="仿宋_GB2312" w:hAnsi="仿宋_GB2312" w:eastAsia="仿宋_GB2312" w:cs="仿宋_GB2312"/>
          <w:sz w:val="32"/>
          <w:szCs w:val="32"/>
          <w:lang w:eastAsia="zh-CN"/>
        </w:rPr>
        <w:t>项目环境影响报告表》（以下简称“</w:t>
      </w:r>
      <w:r>
        <w:rPr>
          <w:rFonts w:hint="eastAsia" w:ascii="仿宋_GB2312" w:hAnsi="仿宋_GB2312" w:eastAsia="仿宋_GB2312" w:cs="仿宋_GB2312"/>
          <w:sz w:val="32"/>
          <w:szCs w:val="32"/>
          <w:lang w:eastAsia="zh-CN"/>
        </w:rPr>
        <w:t>报告表”）等材料收悉。经研究，批复如下：</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lang w:val="en-US" w:eastAsia="zh-CN"/>
        </w:rPr>
        <w:t>湛江市鸿达石化有限公司拟在厂区内建设“湛江市鸿达石化有限公司包装桶周转暂存库项目”。项目总投资60万元，其中环保投资60万元，主要建设内容为新建包装桶周转暂存库，占地面积为320</w:t>
      </w:r>
      <w:r>
        <w:rPr>
          <w:rFonts w:hint="eastAsia" w:ascii="Times New Roman" w:hAnsi="Times New Roman"/>
          <w:sz w:val="32"/>
          <w:szCs w:val="32"/>
          <w:lang w:val="en-US" w:eastAsia="zh-CN"/>
        </w:rPr>
        <w:t>m</w:t>
      </w:r>
      <w:r>
        <w:rPr>
          <w:rFonts w:hint="eastAsia" w:ascii="Times New Roman" w:hAnsi="Times New Roman"/>
          <w:sz w:val="32"/>
          <w:szCs w:val="32"/>
          <w:vertAlign w:val="superscript"/>
          <w:lang w:val="en-US" w:eastAsia="zh-CN"/>
        </w:rPr>
        <w:t>2</w:t>
      </w:r>
      <w:r>
        <w:rPr>
          <w:rFonts w:hint="eastAsia" w:ascii="仿宋_GB2312" w:hAnsi="仿宋_GB2312" w:eastAsia="仿宋_GB2312" w:cs="仿宋_GB2312"/>
          <w:sz w:val="32"/>
          <w:szCs w:val="32"/>
          <w:lang w:val="en-US" w:eastAsia="zh-CN"/>
        </w:rPr>
        <w:t>，建筑面积为320</w:t>
      </w:r>
      <w:r>
        <w:rPr>
          <w:rFonts w:hint="eastAsia" w:ascii="Times New Roman" w:hAnsi="Times New Roman"/>
          <w:sz w:val="32"/>
          <w:szCs w:val="32"/>
          <w:lang w:val="en-US" w:eastAsia="zh-CN"/>
        </w:rPr>
        <w:t>m</w:t>
      </w:r>
      <w:r>
        <w:rPr>
          <w:rFonts w:hint="eastAsia" w:ascii="Times New Roman" w:hAnsi="Times New Roman"/>
          <w:sz w:val="32"/>
          <w:szCs w:val="32"/>
          <w:vertAlign w:val="superscript"/>
          <w:lang w:val="en-US" w:eastAsia="zh-CN"/>
        </w:rPr>
        <w:t>2</w:t>
      </w:r>
      <w:r>
        <w:rPr>
          <w:rFonts w:hint="eastAsia" w:ascii="仿宋_GB2312" w:hAnsi="仿宋_GB2312" w:eastAsia="仿宋_GB2312" w:cs="仿宋_GB2312"/>
          <w:sz w:val="32"/>
          <w:szCs w:val="32"/>
          <w:lang w:val="en-US" w:eastAsia="zh-CN"/>
        </w:rPr>
        <w:t>，用于暂存卸料后未及时运回废油产生单位的废油桶，最大储存量为铁桶920个、吨桶220个以及铁桶、吨桶沾染的废矿物油2.856t</w:t>
      </w:r>
      <w:r>
        <w:rPr>
          <w:rFonts w:hint="eastAsia" w:ascii="仿宋_GB2312" w:hAnsi="仿宋_GB2312" w:eastAsia="仿宋_GB2312" w:cs="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项目新增工作人员3名，员工在厂内就餐，不住宿</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年工作300天，24小时3班倒工作制。</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项目主要工程组成见表1。</w:t>
      </w:r>
    </w:p>
    <w:p>
      <w:pPr>
        <w:pStyle w:val="2"/>
        <w:spacing w:line="600" w:lineRule="exact"/>
        <w:ind w:left="632" w:hanging="632"/>
        <w:jc w:val="center"/>
        <w:rPr>
          <w:rFonts w:ascii="Times New Roman" w:hAnsi="Times New Roman" w:eastAsia="仿宋_GB2312"/>
          <w:sz w:val="32"/>
          <w:szCs w:val="32"/>
        </w:rPr>
      </w:pPr>
      <w:r>
        <w:rPr>
          <w:rFonts w:ascii="Times New Roman" w:hAnsi="Times New Roman" w:eastAsia="仿宋_GB2312"/>
          <w:sz w:val="32"/>
          <w:szCs w:val="32"/>
        </w:rPr>
        <w:t>表1 项目工程组成一览表</w:t>
      </w:r>
    </w:p>
    <w:tbl>
      <w:tblPr>
        <w:tblStyle w:val="18"/>
        <w:tblW w:w="531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1"/>
        <w:gridCol w:w="1145"/>
        <w:gridCol w:w="7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3" w:type="pct"/>
            <w:noWrap w:val="0"/>
            <w:vAlign w:val="center"/>
          </w:tcPr>
          <w:p>
            <w:pPr>
              <w:pStyle w:val="25"/>
              <w:widowControl w:val="0"/>
              <w:ind w:left="-105" w:leftChars="-50" w:right="-105" w:rightChars="-50"/>
              <w:rPr>
                <w:rFonts w:hint="default" w:ascii="Times New Roman" w:hAnsi="Times New Roman" w:eastAsia="仿宋_GB2312" w:cs="Times New Roman"/>
                <w:color w:val="000000"/>
                <w:sz w:val="24"/>
                <w:szCs w:val="24"/>
                <w:highlight w:val="none"/>
                <w:vertAlign w:val="baseline"/>
                <w:lang w:val="en-US" w:eastAsia="zh-CN"/>
              </w:rPr>
            </w:pPr>
            <w:r>
              <w:rPr>
                <w:rFonts w:hint="default" w:ascii="Times New Roman" w:hAnsi="Times New Roman" w:eastAsia="仿宋_GB2312" w:cs="Times New Roman"/>
                <w:b/>
                <w:bCs/>
                <w:color w:val="000000"/>
                <w:sz w:val="24"/>
                <w:szCs w:val="24"/>
                <w:highlight w:val="none"/>
              </w:rPr>
              <w:t>工程类别</w:t>
            </w:r>
          </w:p>
        </w:tc>
        <w:tc>
          <w:tcPr>
            <w:tcW w:w="594" w:type="pct"/>
            <w:noWrap w:val="0"/>
            <w:vAlign w:val="center"/>
          </w:tcPr>
          <w:p>
            <w:pPr>
              <w:pStyle w:val="25"/>
              <w:widowControl w:val="0"/>
              <w:ind w:left="-105" w:leftChars="-50" w:right="-105" w:rightChars="-50"/>
              <w:rPr>
                <w:rFonts w:hint="default" w:ascii="Times New Roman" w:hAnsi="Times New Roman" w:eastAsia="仿宋_GB2312" w:cs="Times New Roman"/>
                <w:color w:val="000000"/>
                <w:sz w:val="24"/>
                <w:szCs w:val="24"/>
                <w:highlight w:val="none"/>
                <w:vertAlign w:val="baseline"/>
                <w:lang w:val="en-US" w:eastAsia="zh-CN"/>
              </w:rPr>
            </w:pPr>
            <w:r>
              <w:rPr>
                <w:rFonts w:hint="default" w:ascii="Times New Roman" w:hAnsi="Times New Roman" w:eastAsia="仿宋_GB2312" w:cs="Times New Roman"/>
                <w:b/>
                <w:bCs/>
                <w:color w:val="000000"/>
                <w:sz w:val="24"/>
                <w:szCs w:val="24"/>
                <w:highlight w:val="none"/>
              </w:rPr>
              <w:t>工程名称</w:t>
            </w:r>
          </w:p>
        </w:tc>
        <w:tc>
          <w:tcPr>
            <w:tcW w:w="3801" w:type="pct"/>
            <w:noWrap w:val="0"/>
            <w:vAlign w:val="center"/>
          </w:tcPr>
          <w:p>
            <w:pPr>
              <w:pStyle w:val="25"/>
              <w:widowControl w:val="0"/>
              <w:ind w:left="-105" w:leftChars="-50" w:right="-105" w:rightChars="-50"/>
              <w:rPr>
                <w:rFonts w:hint="default" w:ascii="Times New Roman" w:hAnsi="Times New Roman" w:eastAsia="仿宋_GB2312" w:cs="Times New Roman"/>
                <w:color w:val="000000"/>
                <w:sz w:val="24"/>
                <w:szCs w:val="24"/>
                <w:highlight w:val="none"/>
                <w:vertAlign w:val="baseline"/>
                <w:lang w:val="en-US" w:eastAsia="zh-CN"/>
              </w:rPr>
            </w:pPr>
            <w:r>
              <w:rPr>
                <w:rFonts w:hint="default" w:ascii="Times New Roman" w:hAnsi="Times New Roman" w:eastAsia="仿宋_GB2312" w:cs="Times New Roman"/>
                <w:b/>
                <w:bCs/>
                <w:color w:val="000000"/>
                <w:sz w:val="24"/>
                <w:szCs w:val="24"/>
                <w:highlight w:val="none"/>
              </w:rPr>
              <w:t>工程内容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3" w:type="pct"/>
            <w:vMerge w:val="restart"/>
            <w:noWrap w:val="0"/>
            <w:vAlign w:val="center"/>
          </w:tcPr>
          <w:p>
            <w:pPr>
              <w:pStyle w:val="25"/>
              <w:widowControl w:val="0"/>
              <w:ind w:left="-105" w:leftChars="-50" w:right="-105" w:rightChars="-50"/>
              <w:rPr>
                <w:rFonts w:hint="default" w:ascii="Times New Roman" w:hAnsi="Times New Roman" w:eastAsia="仿宋_GB2312" w:cs="Times New Roman"/>
                <w:color w:val="000000"/>
                <w:sz w:val="24"/>
                <w:szCs w:val="24"/>
                <w:highlight w:val="none"/>
                <w:vertAlign w:val="baseline"/>
                <w:lang w:val="en-US" w:eastAsia="zh-CN"/>
              </w:rPr>
            </w:pPr>
            <w:r>
              <w:rPr>
                <w:rFonts w:hint="default" w:ascii="Times New Roman" w:hAnsi="Times New Roman" w:eastAsia="仿宋_GB2312" w:cs="Times New Roman"/>
                <w:color w:val="000000"/>
                <w:sz w:val="24"/>
                <w:szCs w:val="24"/>
                <w:highlight w:val="none"/>
              </w:rPr>
              <w:t>环保工程</w:t>
            </w:r>
          </w:p>
        </w:tc>
        <w:tc>
          <w:tcPr>
            <w:tcW w:w="594" w:type="pct"/>
            <w:vMerge w:val="restart"/>
            <w:noWrap w:val="0"/>
            <w:vAlign w:val="center"/>
          </w:tcPr>
          <w:p>
            <w:pPr>
              <w:pStyle w:val="25"/>
              <w:widowControl w:val="0"/>
              <w:ind w:left="-105" w:leftChars="-50" w:right="-105" w:rightChars="-50"/>
              <w:rPr>
                <w:rFonts w:hint="default" w:ascii="Times New Roman" w:hAnsi="Times New Roman" w:eastAsia="仿宋_GB2312" w:cs="Times New Roman"/>
                <w:color w:val="000000"/>
                <w:sz w:val="24"/>
                <w:szCs w:val="24"/>
                <w:highlight w:val="none"/>
              </w:rPr>
            </w:pPr>
            <w:r>
              <w:rPr>
                <w:rFonts w:hint="default" w:ascii="Times New Roman" w:hAnsi="Times New Roman" w:eastAsia="仿宋_GB2312" w:cs="Times New Roman"/>
                <w:color w:val="000000"/>
                <w:sz w:val="24"/>
                <w:szCs w:val="24"/>
                <w:highlight w:val="none"/>
              </w:rPr>
              <w:t>固体废物</w:t>
            </w:r>
          </w:p>
          <w:p>
            <w:pPr>
              <w:pStyle w:val="25"/>
              <w:widowControl w:val="0"/>
              <w:ind w:left="-105" w:leftChars="-50" w:right="-105" w:rightChars="-50"/>
              <w:rPr>
                <w:rFonts w:hint="default" w:ascii="Times New Roman" w:hAnsi="Times New Roman" w:eastAsia="仿宋_GB2312" w:cs="Times New Roman"/>
                <w:color w:val="000000"/>
                <w:sz w:val="24"/>
                <w:szCs w:val="24"/>
                <w:highlight w:val="none"/>
                <w:vertAlign w:val="baseline"/>
                <w:lang w:val="en-US" w:eastAsia="zh-CN"/>
              </w:rPr>
            </w:pPr>
            <w:r>
              <w:rPr>
                <w:rFonts w:hint="default" w:ascii="Times New Roman" w:hAnsi="Times New Roman" w:eastAsia="仿宋_GB2312" w:cs="Times New Roman"/>
                <w:color w:val="000000"/>
                <w:sz w:val="24"/>
                <w:szCs w:val="24"/>
                <w:highlight w:val="none"/>
              </w:rPr>
              <w:t>处置</w:t>
            </w:r>
          </w:p>
        </w:tc>
        <w:tc>
          <w:tcPr>
            <w:tcW w:w="3801" w:type="pct"/>
            <w:noWrap w:val="0"/>
            <w:vAlign w:val="center"/>
          </w:tcPr>
          <w:p>
            <w:pPr>
              <w:pStyle w:val="25"/>
              <w:widowControl w:val="0"/>
              <w:ind w:left="-105" w:leftChars="-50" w:right="-105" w:rightChars="-50"/>
              <w:rPr>
                <w:rFonts w:hint="default" w:ascii="Times New Roman" w:hAnsi="Times New Roman" w:eastAsia="仿宋_GB2312" w:cs="Times New Roman"/>
                <w:color w:val="000000"/>
                <w:sz w:val="24"/>
                <w:szCs w:val="24"/>
                <w:highlight w:val="none"/>
                <w:vertAlign w:val="baseline"/>
                <w:lang w:val="en-US" w:eastAsia="zh-CN"/>
              </w:rPr>
            </w:pPr>
            <w:r>
              <w:rPr>
                <w:rFonts w:hint="default" w:ascii="Times New Roman" w:hAnsi="Times New Roman" w:eastAsia="仿宋_GB2312" w:cs="Times New Roman"/>
                <w:color w:val="000000"/>
                <w:sz w:val="24"/>
                <w:szCs w:val="24"/>
                <w:highlight w:val="none"/>
                <w:lang w:eastAsia="zh-CN"/>
              </w:rPr>
              <w:t>包装桶周转暂存库</w:t>
            </w:r>
            <w:r>
              <w:rPr>
                <w:rFonts w:hint="default" w:ascii="Times New Roman" w:hAnsi="Times New Roman" w:eastAsia="仿宋_GB2312" w:cs="Times New Roman"/>
                <w:color w:val="000000"/>
                <w:sz w:val="24"/>
                <w:szCs w:val="24"/>
                <w:highlight w:val="none"/>
              </w:rPr>
              <w:t>内固废分类</w:t>
            </w:r>
            <w:r>
              <w:rPr>
                <w:rFonts w:hint="default" w:ascii="Times New Roman" w:hAnsi="Times New Roman" w:eastAsia="仿宋_GB2312" w:cs="Times New Roman"/>
                <w:color w:val="000000"/>
                <w:sz w:val="24"/>
                <w:szCs w:val="24"/>
                <w:highlight w:val="none"/>
                <w:lang w:eastAsia="zh-CN"/>
              </w:rPr>
              <w:t>整齐</w:t>
            </w:r>
            <w:r>
              <w:rPr>
                <w:rFonts w:hint="default" w:ascii="Times New Roman" w:hAnsi="Times New Roman" w:eastAsia="仿宋_GB2312" w:cs="Times New Roman"/>
                <w:color w:val="000000"/>
                <w:sz w:val="24"/>
                <w:szCs w:val="24"/>
                <w:highlight w:val="none"/>
              </w:rPr>
              <w:t>暂存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3" w:type="pct"/>
            <w:vMerge w:val="continue"/>
            <w:noWrap w:val="0"/>
            <w:vAlign w:val="center"/>
          </w:tcPr>
          <w:p>
            <w:pPr>
              <w:pStyle w:val="25"/>
              <w:widowControl w:val="0"/>
              <w:ind w:left="-105" w:leftChars="-50" w:right="-105" w:rightChars="-50"/>
              <w:rPr>
                <w:rFonts w:hint="default" w:ascii="Times New Roman" w:hAnsi="Times New Roman" w:eastAsia="仿宋_GB2312" w:cs="Times New Roman"/>
                <w:color w:val="000000"/>
                <w:sz w:val="24"/>
                <w:szCs w:val="24"/>
                <w:highlight w:val="none"/>
                <w:vertAlign w:val="baseline"/>
                <w:lang w:val="en-US" w:eastAsia="zh-CN"/>
              </w:rPr>
            </w:pPr>
          </w:p>
        </w:tc>
        <w:tc>
          <w:tcPr>
            <w:tcW w:w="594" w:type="pct"/>
            <w:vMerge w:val="continue"/>
            <w:noWrap w:val="0"/>
            <w:vAlign w:val="center"/>
          </w:tcPr>
          <w:p>
            <w:pPr>
              <w:pStyle w:val="25"/>
              <w:widowControl w:val="0"/>
              <w:ind w:left="-105" w:leftChars="-50" w:right="-105" w:rightChars="-50"/>
              <w:rPr>
                <w:rFonts w:hint="default" w:ascii="Times New Roman" w:hAnsi="Times New Roman" w:eastAsia="仿宋_GB2312" w:cs="Times New Roman"/>
                <w:color w:val="000000"/>
                <w:sz w:val="24"/>
                <w:szCs w:val="24"/>
                <w:highlight w:val="none"/>
                <w:vertAlign w:val="baseline"/>
                <w:lang w:val="en-US" w:eastAsia="zh-CN"/>
              </w:rPr>
            </w:pPr>
          </w:p>
        </w:tc>
        <w:tc>
          <w:tcPr>
            <w:tcW w:w="3801" w:type="pct"/>
            <w:noWrap w:val="0"/>
            <w:vAlign w:val="center"/>
          </w:tcPr>
          <w:p>
            <w:pPr>
              <w:pStyle w:val="25"/>
              <w:widowControl w:val="0"/>
              <w:ind w:left="-105" w:leftChars="-50" w:right="-105" w:rightChars="-50"/>
              <w:rPr>
                <w:rFonts w:hint="default" w:ascii="Times New Roman" w:hAnsi="Times New Roman" w:eastAsia="仿宋_GB2312" w:cs="Times New Roman"/>
                <w:b/>
                <w:bCs/>
                <w:color w:val="000000"/>
                <w:sz w:val="24"/>
                <w:szCs w:val="24"/>
                <w:highlight w:val="none"/>
                <w:vertAlign w:val="baseline"/>
                <w:lang w:val="en-US" w:eastAsia="zh-CN"/>
              </w:rPr>
            </w:pPr>
            <w:r>
              <w:rPr>
                <w:rFonts w:hint="default" w:ascii="Times New Roman" w:hAnsi="Times New Roman" w:eastAsia="仿宋_GB2312" w:cs="Times New Roman"/>
                <w:color w:val="000000"/>
                <w:sz w:val="24"/>
                <w:szCs w:val="24"/>
                <w:highlight w:val="none"/>
                <w:lang w:eastAsia="zh-CN"/>
              </w:rPr>
              <w:t>包装桶周转暂存库</w:t>
            </w:r>
            <w:r>
              <w:rPr>
                <w:rFonts w:hint="default" w:ascii="Times New Roman" w:hAnsi="Times New Roman" w:eastAsia="仿宋_GB2312" w:cs="Times New Roman"/>
                <w:color w:val="000000"/>
                <w:sz w:val="24"/>
                <w:szCs w:val="24"/>
                <w:highlight w:val="none"/>
              </w:rPr>
              <w:t>占地面积为</w:t>
            </w:r>
            <w:r>
              <w:rPr>
                <w:rFonts w:hint="default" w:ascii="Times New Roman" w:hAnsi="Times New Roman" w:eastAsia="仿宋_GB2312" w:cs="Times New Roman"/>
                <w:color w:val="000000"/>
                <w:sz w:val="24"/>
                <w:szCs w:val="24"/>
                <w:highlight w:val="none"/>
                <w:lang w:eastAsia="zh-CN"/>
              </w:rPr>
              <w:t>320</w:t>
            </w:r>
            <w:r>
              <w:rPr>
                <w:rFonts w:hint="default" w:ascii="Times New Roman" w:hAnsi="Times New Roman" w:eastAsia="仿宋_GB2312" w:cs="Times New Roman"/>
                <w:color w:val="000000"/>
                <w:sz w:val="24"/>
                <w:szCs w:val="24"/>
                <w:highlight w:val="none"/>
              </w:rPr>
              <w:t>m</w:t>
            </w:r>
            <w:r>
              <w:rPr>
                <w:rFonts w:hint="default" w:ascii="Times New Roman" w:hAnsi="Times New Roman" w:eastAsia="仿宋_GB2312" w:cs="Times New Roman"/>
                <w:color w:val="000000"/>
                <w:sz w:val="24"/>
                <w:szCs w:val="24"/>
                <w:highlight w:val="none"/>
                <w:vertAlign w:val="superscript"/>
              </w:rPr>
              <w:t>2</w:t>
            </w:r>
            <w:r>
              <w:rPr>
                <w:rFonts w:hint="default" w:ascii="Times New Roman" w:hAnsi="Times New Roman" w:eastAsia="仿宋_GB2312" w:cs="Times New Roman"/>
                <w:color w:val="000000"/>
                <w:sz w:val="24"/>
                <w:szCs w:val="24"/>
                <w:highlight w:val="none"/>
              </w:rPr>
              <w:t>，</w:t>
            </w:r>
            <w:r>
              <w:rPr>
                <w:rFonts w:hint="default" w:ascii="Times New Roman" w:hAnsi="Times New Roman" w:eastAsia="仿宋_GB2312" w:cs="Times New Roman"/>
                <w:color w:val="000000"/>
                <w:sz w:val="24"/>
                <w:szCs w:val="24"/>
                <w:highlight w:val="none"/>
                <w:lang w:eastAsia="zh-CN"/>
              </w:rPr>
              <w:t>高度为</w:t>
            </w:r>
            <w:r>
              <w:rPr>
                <w:rFonts w:hint="default" w:ascii="Times New Roman" w:hAnsi="Times New Roman" w:eastAsia="仿宋_GB2312" w:cs="Times New Roman"/>
                <w:color w:val="000000"/>
                <w:sz w:val="24"/>
                <w:szCs w:val="24"/>
                <w:highlight w:val="none"/>
                <w:lang w:val="en-US" w:eastAsia="zh-CN"/>
              </w:rPr>
              <w:t>5m。</w:t>
            </w:r>
            <w:r>
              <w:rPr>
                <w:rFonts w:hint="default" w:ascii="Times New Roman" w:hAnsi="Times New Roman" w:eastAsia="仿宋_GB2312" w:cs="Times New Roman"/>
                <w:color w:val="000000"/>
                <w:sz w:val="24"/>
                <w:szCs w:val="24"/>
                <w:highlight w:val="none"/>
              </w:rPr>
              <w:t>主要暂存铁桶、吨桶</w:t>
            </w:r>
            <w:r>
              <w:rPr>
                <w:rFonts w:hint="eastAsia" w:eastAsia="仿宋_GB2312" w:cs="Times New Roman"/>
                <w:color w:val="000000"/>
                <w:sz w:val="24"/>
                <w:szCs w:val="24"/>
                <w:highlight w:val="none"/>
                <w:lang w:eastAsia="zh-CN"/>
              </w:rPr>
              <w:t>、</w:t>
            </w:r>
            <w:r>
              <w:rPr>
                <w:rFonts w:hint="default" w:ascii="Times New Roman" w:hAnsi="Times New Roman" w:eastAsia="仿宋_GB2312" w:cs="Times New Roman"/>
                <w:color w:val="000000"/>
                <w:sz w:val="24"/>
                <w:szCs w:val="24"/>
                <w:highlight w:val="none"/>
              </w:rPr>
              <w:t>、沾染的废矿物油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3" w:type="pct"/>
            <w:vMerge w:val="continue"/>
            <w:noWrap w:val="0"/>
            <w:vAlign w:val="center"/>
          </w:tcPr>
          <w:p>
            <w:pPr>
              <w:pStyle w:val="25"/>
              <w:widowControl w:val="0"/>
              <w:ind w:left="-105" w:leftChars="-50" w:right="-105" w:rightChars="-50"/>
              <w:rPr>
                <w:rFonts w:hint="default" w:ascii="Times New Roman" w:hAnsi="Times New Roman" w:eastAsia="仿宋_GB2312" w:cs="Times New Roman"/>
                <w:color w:val="000000"/>
                <w:sz w:val="24"/>
                <w:szCs w:val="24"/>
                <w:highlight w:val="none"/>
                <w:vertAlign w:val="baseline"/>
                <w:lang w:val="en-US" w:eastAsia="zh-CN"/>
              </w:rPr>
            </w:pPr>
          </w:p>
        </w:tc>
        <w:tc>
          <w:tcPr>
            <w:tcW w:w="594" w:type="pct"/>
            <w:noWrap w:val="0"/>
            <w:vAlign w:val="center"/>
          </w:tcPr>
          <w:p>
            <w:pPr>
              <w:pStyle w:val="25"/>
              <w:widowControl w:val="0"/>
              <w:ind w:left="-105" w:leftChars="-50" w:right="-105" w:rightChars="-50"/>
              <w:rPr>
                <w:rFonts w:hint="default" w:ascii="Times New Roman" w:hAnsi="Times New Roman" w:eastAsia="仿宋_GB2312" w:cs="Times New Roman"/>
                <w:color w:val="000000"/>
                <w:sz w:val="24"/>
                <w:szCs w:val="24"/>
                <w:highlight w:val="none"/>
                <w:lang w:val="en-US" w:eastAsia="zh-CN"/>
              </w:rPr>
            </w:pPr>
            <w:r>
              <w:rPr>
                <w:rFonts w:hint="default" w:ascii="Times New Roman" w:hAnsi="Times New Roman" w:eastAsia="仿宋_GB2312" w:cs="Times New Roman"/>
                <w:color w:val="000000"/>
                <w:sz w:val="24"/>
                <w:szCs w:val="24"/>
                <w:highlight w:val="none"/>
                <w:lang w:val="en-US" w:eastAsia="zh-CN"/>
              </w:rPr>
              <w:t>事故应急</w:t>
            </w:r>
          </w:p>
        </w:tc>
        <w:tc>
          <w:tcPr>
            <w:tcW w:w="3801" w:type="pct"/>
            <w:noWrap w:val="0"/>
            <w:vAlign w:val="center"/>
          </w:tcPr>
          <w:p>
            <w:pPr>
              <w:pStyle w:val="14"/>
              <w:jc w:val="center"/>
              <w:rPr>
                <w:rFonts w:hint="default" w:ascii="Times New Roman" w:hAnsi="Times New Roman" w:eastAsia="仿宋_GB2312" w:cs="Times New Roman"/>
                <w:color w:val="000000"/>
                <w:sz w:val="24"/>
                <w:szCs w:val="24"/>
                <w:highlight w:val="none"/>
                <w:vertAlign w:val="baseline"/>
                <w:lang w:val="en-US" w:eastAsia="zh-CN"/>
              </w:rPr>
            </w:pPr>
            <w:r>
              <w:rPr>
                <w:rFonts w:hint="default" w:ascii="Times New Roman" w:hAnsi="Times New Roman" w:eastAsia="仿宋_GB2312" w:cs="Times New Roman"/>
                <w:color w:val="000000"/>
                <w:sz w:val="24"/>
                <w:szCs w:val="24"/>
                <w:lang w:eastAsia="zh-CN"/>
              </w:rPr>
              <w:t>依托厂区现有</w:t>
            </w:r>
            <w:r>
              <w:rPr>
                <w:rFonts w:hint="default" w:ascii="Times New Roman" w:hAnsi="Times New Roman" w:eastAsia="仿宋_GB2312" w:cs="Times New Roman"/>
                <w:color w:val="000000"/>
                <w:sz w:val="24"/>
                <w:szCs w:val="24"/>
                <w:highlight w:val="none"/>
                <w:vertAlign w:val="baseline"/>
                <w:lang w:val="en-US" w:eastAsia="zh-CN"/>
              </w:rPr>
              <w:t>1个1800m</w:t>
            </w:r>
            <w:r>
              <w:rPr>
                <w:rFonts w:hint="default" w:ascii="Times New Roman" w:hAnsi="Times New Roman" w:eastAsia="仿宋_GB2312" w:cs="Times New Roman"/>
                <w:color w:val="000000"/>
                <w:sz w:val="24"/>
                <w:szCs w:val="24"/>
                <w:highlight w:val="none"/>
                <w:vertAlign w:val="superscript"/>
                <w:lang w:val="en-US" w:eastAsia="zh-CN"/>
              </w:rPr>
              <w:t>3</w:t>
            </w:r>
            <w:r>
              <w:rPr>
                <w:rFonts w:hint="default" w:ascii="Times New Roman" w:hAnsi="Times New Roman" w:eastAsia="仿宋_GB2312" w:cs="Times New Roman"/>
                <w:color w:val="000000"/>
                <w:sz w:val="24"/>
                <w:szCs w:val="24"/>
                <w:highlight w:val="none"/>
                <w:vertAlign w:val="baseline"/>
                <w:lang w:val="en-US" w:eastAsia="zh-CN"/>
              </w:rPr>
              <w:t>应急池；</w:t>
            </w:r>
            <w:r>
              <w:rPr>
                <w:rFonts w:hint="default" w:ascii="Times New Roman" w:hAnsi="Times New Roman" w:eastAsia="仿宋_GB2312" w:cs="Times New Roman"/>
                <w:color w:val="000000"/>
                <w:sz w:val="24"/>
                <w:szCs w:val="24"/>
                <w:highlight w:val="none"/>
                <w:lang w:eastAsia="zh-CN"/>
              </w:rPr>
              <w:t>包装桶周转暂存库内</w:t>
            </w:r>
            <w:r>
              <w:rPr>
                <w:rFonts w:hint="default" w:ascii="Times New Roman" w:hAnsi="Times New Roman" w:eastAsia="仿宋_GB2312" w:cs="Times New Roman"/>
                <w:color w:val="000000"/>
                <w:sz w:val="24"/>
                <w:szCs w:val="24"/>
                <w:highlight w:val="none"/>
                <w:vertAlign w:val="baseline"/>
                <w:lang w:val="en-US" w:eastAsia="zh-CN"/>
              </w:rPr>
              <w:t>修建集液池（长1m×宽1m×高0.09m）；设导流沟；采取防渗、防腐措施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3" w:type="pct"/>
            <w:vMerge w:val="continue"/>
            <w:noWrap w:val="0"/>
            <w:vAlign w:val="center"/>
          </w:tcPr>
          <w:p>
            <w:pPr>
              <w:pStyle w:val="25"/>
              <w:widowControl w:val="0"/>
              <w:ind w:left="-105" w:leftChars="-50" w:right="-105" w:rightChars="-50"/>
              <w:rPr>
                <w:rFonts w:hint="default" w:ascii="Times New Roman" w:hAnsi="Times New Roman" w:eastAsia="仿宋_GB2312" w:cs="Times New Roman"/>
                <w:color w:val="000000"/>
                <w:sz w:val="24"/>
                <w:szCs w:val="24"/>
                <w:highlight w:val="none"/>
                <w:vertAlign w:val="baseline"/>
                <w:lang w:val="en-US" w:eastAsia="zh-CN"/>
              </w:rPr>
            </w:pPr>
          </w:p>
        </w:tc>
        <w:tc>
          <w:tcPr>
            <w:tcW w:w="594" w:type="pct"/>
            <w:noWrap w:val="0"/>
            <w:vAlign w:val="center"/>
          </w:tcPr>
          <w:p>
            <w:pPr>
              <w:pStyle w:val="25"/>
              <w:widowControl w:val="0"/>
              <w:ind w:left="-105" w:leftChars="-50" w:right="-105" w:rightChars="-50"/>
              <w:rPr>
                <w:rFonts w:hint="default" w:ascii="Times New Roman" w:hAnsi="Times New Roman" w:eastAsia="仿宋_GB2312" w:cs="Times New Roman"/>
                <w:color w:val="000000"/>
                <w:sz w:val="24"/>
                <w:szCs w:val="24"/>
                <w:highlight w:val="none"/>
                <w:vertAlign w:val="baseline"/>
                <w:lang w:val="en-US" w:eastAsia="zh-CN"/>
              </w:rPr>
            </w:pPr>
            <w:r>
              <w:rPr>
                <w:rFonts w:hint="default" w:ascii="Times New Roman" w:hAnsi="Times New Roman" w:eastAsia="仿宋_GB2312" w:cs="Times New Roman"/>
                <w:color w:val="000000"/>
                <w:sz w:val="24"/>
                <w:szCs w:val="24"/>
                <w:highlight w:val="none"/>
              </w:rPr>
              <w:t>防渗结构</w:t>
            </w:r>
          </w:p>
        </w:tc>
        <w:tc>
          <w:tcPr>
            <w:tcW w:w="3801" w:type="pct"/>
            <w:noWrap w:val="0"/>
            <w:vAlign w:val="center"/>
          </w:tcPr>
          <w:p>
            <w:pPr>
              <w:pStyle w:val="25"/>
              <w:widowControl w:val="0"/>
              <w:ind w:left="0" w:leftChars="0" w:right="0" w:rightChars="0"/>
              <w:rPr>
                <w:rFonts w:hint="default" w:ascii="Times New Roman" w:hAnsi="Times New Roman" w:eastAsia="仿宋_GB2312" w:cs="Times New Roman"/>
                <w:color w:val="000000"/>
                <w:sz w:val="24"/>
                <w:szCs w:val="24"/>
                <w:highlight w:val="none"/>
                <w:vertAlign w:val="baseline"/>
                <w:lang w:val="en-US" w:eastAsia="zh-CN"/>
              </w:rPr>
            </w:pPr>
            <w:r>
              <w:rPr>
                <w:rFonts w:hint="default" w:ascii="Times New Roman" w:hAnsi="Times New Roman" w:eastAsia="仿宋_GB2312" w:cs="Times New Roman"/>
                <w:color w:val="000000"/>
                <w:sz w:val="24"/>
                <w:szCs w:val="24"/>
                <w:highlight w:val="none"/>
              </w:rPr>
              <w:t>地面、沟渠等均采取防渗、防腐措施</w:t>
            </w:r>
            <w:r>
              <w:rPr>
                <w:rFonts w:hint="default" w:ascii="Times New Roman" w:hAnsi="Times New Roman" w:eastAsia="仿宋_GB2312" w:cs="Times New Roman"/>
                <w:color w:val="000000"/>
                <w:sz w:val="24"/>
                <w:szCs w:val="24"/>
                <w:highlight w:val="none"/>
                <w:lang w:eastAsia="zh-CN"/>
              </w:rPr>
              <w:t>。暂存库具体防渗方案如下：面层：2mmHDPE膜，渗透系数≤10</w:t>
            </w:r>
            <w:r>
              <w:rPr>
                <w:rFonts w:hint="default" w:ascii="Times New Roman" w:hAnsi="Times New Roman" w:eastAsia="仿宋_GB2312" w:cs="Times New Roman"/>
                <w:color w:val="000000"/>
                <w:sz w:val="24"/>
                <w:szCs w:val="24"/>
                <w:highlight w:val="none"/>
                <w:vertAlign w:val="superscript"/>
                <w:lang w:eastAsia="zh-CN"/>
              </w:rPr>
              <w:t>-10</w:t>
            </w:r>
            <w:r>
              <w:rPr>
                <w:rFonts w:hint="default" w:ascii="Times New Roman" w:hAnsi="Times New Roman" w:eastAsia="仿宋_GB2312" w:cs="Times New Roman"/>
                <w:color w:val="000000"/>
                <w:sz w:val="24"/>
                <w:szCs w:val="24"/>
                <w:highlight w:val="none"/>
                <w:lang w:eastAsia="zh-CN"/>
              </w:rPr>
              <w:t>cm/s，垫层：60 mm C20细石混凝土，渗透系数≤10</w:t>
            </w:r>
            <w:r>
              <w:rPr>
                <w:rFonts w:hint="default" w:ascii="Times New Roman" w:hAnsi="Times New Roman" w:eastAsia="仿宋_GB2312" w:cs="Times New Roman"/>
                <w:color w:val="000000"/>
                <w:sz w:val="24"/>
                <w:szCs w:val="24"/>
                <w:highlight w:val="none"/>
                <w:vertAlign w:val="superscript"/>
                <w:lang w:eastAsia="zh-CN"/>
              </w:rPr>
              <w:t>-4</w:t>
            </w:r>
            <w:r>
              <w:rPr>
                <w:rFonts w:hint="default" w:ascii="Times New Roman" w:hAnsi="Times New Roman" w:eastAsia="仿宋_GB2312" w:cs="Times New Roman"/>
                <w:color w:val="000000"/>
                <w:sz w:val="24"/>
                <w:szCs w:val="24"/>
                <w:highlight w:val="none"/>
                <w:lang w:eastAsia="zh-CN"/>
              </w:rPr>
              <w:t>m/s，防渗层：500mm厚黏土层，渗透系数≤10</w:t>
            </w:r>
            <w:r>
              <w:rPr>
                <w:rFonts w:hint="default" w:ascii="Times New Roman" w:hAnsi="Times New Roman" w:eastAsia="仿宋_GB2312" w:cs="Times New Roman"/>
                <w:color w:val="000000"/>
                <w:sz w:val="24"/>
                <w:szCs w:val="24"/>
                <w:highlight w:val="none"/>
                <w:vertAlign w:val="superscript"/>
                <w:lang w:eastAsia="zh-CN"/>
              </w:rPr>
              <w:t>-7</w:t>
            </w:r>
            <w:r>
              <w:rPr>
                <w:rFonts w:hint="default" w:ascii="Times New Roman" w:hAnsi="Times New Roman" w:eastAsia="仿宋_GB2312" w:cs="Times New Roman"/>
                <w:color w:val="000000"/>
                <w:sz w:val="24"/>
                <w:szCs w:val="24"/>
                <w:highlight w:val="none"/>
                <w:lang w:eastAsia="zh-CN"/>
              </w:rPr>
              <w:t>cm/s。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3" w:type="pct"/>
            <w:vMerge w:val="continue"/>
            <w:noWrap w:val="0"/>
            <w:vAlign w:val="center"/>
          </w:tcPr>
          <w:p>
            <w:pPr>
              <w:pStyle w:val="25"/>
              <w:widowControl w:val="0"/>
              <w:ind w:left="-105" w:leftChars="-50" w:right="-105" w:rightChars="-50"/>
              <w:rPr>
                <w:rFonts w:hint="default" w:ascii="Times New Roman" w:hAnsi="Times New Roman" w:eastAsia="仿宋_GB2312" w:cs="Times New Roman"/>
                <w:color w:val="000000"/>
                <w:sz w:val="24"/>
                <w:szCs w:val="24"/>
                <w:highlight w:val="none"/>
                <w:vertAlign w:val="baseline"/>
                <w:lang w:val="en-US" w:eastAsia="zh-CN"/>
              </w:rPr>
            </w:pPr>
          </w:p>
        </w:tc>
        <w:tc>
          <w:tcPr>
            <w:tcW w:w="594" w:type="pct"/>
            <w:noWrap w:val="0"/>
            <w:vAlign w:val="center"/>
          </w:tcPr>
          <w:p>
            <w:pPr>
              <w:pStyle w:val="26"/>
              <w:widowControl w:val="0"/>
              <w:jc w:val="center"/>
              <w:rPr>
                <w:rFonts w:hint="default" w:ascii="Times New Roman" w:hAnsi="Times New Roman" w:eastAsia="仿宋_GB2312" w:cs="Times New Roman"/>
                <w:color w:val="000000"/>
                <w:sz w:val="24"/>
                <w:szCs w:val="24"/>
                <w:highlight w:val="none"/>
                <w:vertAlign w:val="baseline"/>
                <w:lang w:val="en-US" w:eastAsia="zh-CN"/>
              </w:rPr>
            </w:pPr>
            <w:r>
              <w:rPr>
                <w:rFonts w:hint="default" w:ascii="Times New Roman" w:hAnsi="Times New Roman" w:eastAsia="仿宋_GB2312" w:cs="Times New Roman"/>
                <w:color w:val="000000"/>
                <w:sz w:val="24"/>
                <w:szCs w:val="24"/>
                <w:highlight w:val="none"/>
              </w:rPr>
              <w:t>防腐结构</w:t>
            </w:r>
          </w:p>
        </w:tc>
        <w:tc>
          <w:tcPr>
            <w:tcW w:w="3801" w:type="pct"/>
            <w:noWrap w:val="0"/>
            <w:vAlign w:val="center"/>
          </w:tcPr>
          <w:p>
            <w:pPr>
              <w:pStyle w:val="26"/>
              <w:widowControl w:val="0"/>
              <w:jc w:val="center"/>
              <w:rPr>
                <w:rFonts w:hint="default" w:ascii="Times New Roman" w:hAnsi="Times New Roman" w:eastAsia="仿宋_GB2312" w:cs="Times New Roman"/>
                <w:color w:val="000000"/>
                <w:sz w:val="24"/>
                <w:szCs w:val="24"/>
                <w:highlight w:val="none"/>
                <w:vertAlign w:val="baseline"/>
                <w:lang w:val="en-US" w:eastAsia="zh-CN"/>
              </w:rPr>
            </w:pPr>
            <w:r>
              <w:rPr>
                <w:rFonts w:hint="default" w:ascii="Times New Roman" w:hAnsi="Times New Roman" w:eastAsia="仿宋_GB2312" w:cs="Times New Roman"/>
                <w:color w:val="000000"/>
                <w:sz w:val="24"/>
                <w:szCs w:val="24"/>
                <w:highlight w:val="none"/>
              </w:rPr>
              <w:t>地面、裙脚、应急池结构采用防腐卷材做防腐层，防腐等级达到户内防强腐蚀型：F2</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的评价结论及湛江市生态环境技术中心《关于</w:t>
      </w:r>
      <w:r>
        <w:rPr>
          <w:rFonts w:hint="eastAsia" w:ascii="仿宋_GB2312" w:hAnsi="仿宋_GB2312" w:eastAsia="仿宋_GB2312" w:cs="仿宋_GB2312"/>
          <w:sz w:val="32"/>
          <w:szCs w:val="32"/>
          <w:lang w:eastAsia="zh-CN"/>
        </w:rPr>
        <w:t>湛江市</w:t>
      </w:r>
      <w:r>
        <w:rPr>
          <w:rFonts w:hint="eastAsia" w:ascii="仿宋_GB2312" w:hAnsi="仿宋_GB2312" w:eastAsia="仿宋_GB2312" w:cs="仿宋_GB2312"/>
          <w:sz w:val="32"/>
          <w:szCs w:val="32"/>
          <w:lang w:val="en-US" w:eastAsia="zh-CN"/>
        </w:rPr>
        <w:t>鸿达石化有限公司包装桶周转暂存库</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环境影响报告表的评估意见》（湛环技评表〔202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70</w:t>
      </w:r>
      <w:r>
        <w:rPr>
          <w:rFonts w:hint="eastAsia" w:ascii="仿宋_GB2312" w:hAnsi="仿宋_GB2312" w:eastAsia="仿宋_GB2312" w:cs="仿宋_GB2312"/>
          <w:sz w:val="32"/>
          <w:szCs w:val="32"/>
        </w:rPr>
        <w:t>号），在全面落实</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中提出的各项污染防治和风险防范措施，并确保污染物排放稳定达标且符合总量要求的前提下，项目按照</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中所列性质、规模、地点和拟采取的环境保护措施进行建设，从环境保护角度可行。我局原则通过对</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的审查，你公司应按照</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内容组织实施。</w:t>
      </w:r>
    </w:p>
    <w:p>
      <w:pPr>
        <w:keepNext w:val="0"/>
        <w:keepLines w:val="0"/>
        <w:pageBreakBefore w:val="0"/>
        <w:widowControl w:val="0"/>
        <w:kinsoku/>
        <w:wordWrap/>
        <w:overflowPunct/>
        <w:topLinePunct w:val="0"/>
        <w:autoSpaceDE/>
        <w:autoSpaceDN/>
        <w:bidi w:val="0"/>
        <w:adjustRightInd/>
        <w:snapToGrid/>
        <w:spacing w:line="580" w:lineRule="exact"/>
        <w:ind w:firstLine="566" w:firstLineChars="177"/>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、项目建设和运营中还应重点做好以下工作：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该项目须加强环保管理和“三废”污染防治设施维护，严格按照环评的要求落实各项污染防治措施风险防范和应急处置措施，确保项目固废得到有效处置，各类污染物稳定达标排放，防止危险废物泄漏、火灾或爆炸等事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该项目须加强危险废物的管理。1.严格按照《危险废物贮存污染控制标准》（GB18597-2001及其2013年修订）中的相关规定设计建设危险废物暂存间，满足防雨、防渗、防风、防晒、防漏等要求；2.危险废物须交由有资质的单位进行安全处置；3.建立危险废物管理台账，如实记录产生固体废物的种类、数量、利用、贮存、处置、流向等信息，存档备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该项目厂界无组织排放的非甲烷总烃执行广东省地方标准《大气污染物排放限值》（DB44/27-2001）中第二时段无组织排放监控浓度限值要求，厂区内非甲烷总烃无组织排放监控点浓度执行《固定污染源挥发性有机物综合排放标准》（DB44/2367-2022）</w:t>
      </w:r>
      <w:r>
        <w:rPr>
          <w:rFonts w:hint="eastAsia" w:ascii="仿宋_GB2312" w:hAnsi="仿宋_GB2312" w:eastAsia="仿宋_GB2312" w:cs="仿宋_GB2312"/>
          <w:sz w:val="32"/>
          <w:szCs w:val="32"/>
          <w:lang w:val="en-US" w:eastAsia="zh-CN"/>
        </w:rPr>
        <w:t>排放限值要求。</w:t>
      </w:r>
    </w:p>
    <w:p>
      <w:pPr>
        <w:pStyle w:val="2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（四）该项目厂界噪声执行《工业企业厂界环境噪声排放标准》（GB12348-2008）中的3类功能区标准要求。</w:t>
      </w:r>
    </w:p>
    <w:p>
      <w:pPr>
        <w:keepNext w:val="0"/>
        <w:keepLines w:val="0"/>
        <w:pageBreakBefore w:val="0"/>
        <w:widowControl w:val="0"/>
        <w:kinsoku/>
        <w:wordWrap/>
        <w:overflowPunct/>
        <w:topLinePunct w:val="0"/>
        <w:autoSpaceDE/>
        <w:autoSpaceDN/>
        <w:bidi w:val="0"/>
        <w:adjustRightInd/>
        <w:snapToGrid/>
        <w:spacing w:line="580" w:lineRule="exact"/>
        <w:ind w:firstLine="566" w:firstLineChars="177"/>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kern w:val="2"/>
          <w:sz w:val="32"/>
          <w:szCs w:val="32"/>
          <w:lang w:val="en-US" w:eastAsia="zh-CN" w:bidi="ar-SA"/>
        </w:rPr>
        <w:t>四、若项目的性质、规模、地点、工艺或者防治污染的措施</w:t>
      </w:r>
      <w:r>
        <w:rPr>
          <w:rFonts w:hint="eastAsia" w:ascii="仿宋_GB2312" w:hAnsi="仿宋_GB2312" w:eastAsia="仿宋_GB2312" w:cs="仿宋_GB2312"/>
          <w:sz w:val="32"/>
          <w:szCs w:val="32"/>
        </w:rPr>
        <w:t>发生重大变动，应重新报批项目的环境影响评价文件。</w:t>
      </w:r>
    </w:p>
    <w:p>
      <w:pPr>
        <w:keepNext w:val="0"/>
        <w:keepLines w:val="0"/>
        <w:pageBreakBefore w:val="0"/>
        <w:widowControl w:val="0"/>
        <w:kinsoku/>
        <w:wordWrap/>
        <w:overflowPunct/>
        <w:topLinePunct w:val="0"/>
        <w:bidi w:val="0"/>
        <w:adjustRightInd/>
        <w:snapToGrid/>
        <w:spacing w:line="580" w:lineRule="exact"/>
        <w:textAlignment w:val="auto"/>
        <w:rPr>
          <w:rFonts w:hint="eastAsia" w:ascii="仿宋_GB2312" w:hAnsi="仿宋_GB2312" w:eastAsia="仿宋_GB2312" w:cs="仿宋_GB2312"/>
        </w:rPr>
      </w:pPr>
    </w:p>
    <w:p>
      <w:pPr>
        <w:pStyle w:val="20"/>
        <w:keepNext w:val="0"/>
        <w:keepLines w:val="0"/>
        <w:pageBreakBefore w:val="0"/>
        <w:kinsoku/>
        <w:wordWrap/>
        <w:overflowPunct/>
        <w:topLinePunct w:val="0"/>
        <w:bidi w:val="0"/>
        <w:snapToGrid/>
        <w:spacing w:line="580" w:lineRule="exact"/>
        <w:textAlignment w:val="auto"/>
        <w:rPr>
          <w:rFonts w:hint="eastAsia" w:ascii="仿宋_GB2312" w:hAnsi="仿宋_GB2312" w:eastAsia="仿宋_GB2312" w:cs="仿宋_GB2312"/>
        </w:rPr>
      </w:pPr>
    </w:p>
    <w:p>
      <w:pPr>
        <w:pStyle w:val="22"/>
        <w:rPr>
          <w:rFonts w:hint="eastAsia"/>
        </w:rPr>
      </w:pPr>
    </w:p>
    <w:p>
      <w:pPr>
        <w:pStyle w:val="2"/>
        <w:keepNext w:val="0"/>
        <w:keepLines w:val="0"/>
        <w:pageBreakBefore w:val="0"/>
        <w:widowControl w:val="0"/>
        <w:kinsoku/>
        <w:wordWrap/>
        <w:overflowPunct/>
        <w:topLinePunct w:val="0"/>
        <w:autoSpaceDE/>
        <w:autoSpaceDN/>
        <w:bidi w:val="0"/>
        <w:adjustRightInd/>
        <w:snapToGrid/>
        <w:spacing w:line="580" w:lineRule="exact"/>
        <w:ind w:left="0" w:leftChars="0" w:right="629" w:rightChars="0" w:firstLine="0" w:firstLineChars="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lang w:val="en-US" w:eastAsia="zh-CN"/>
        </w:rPr>
        <w:t xml:space="preserve">                 </w:t>
      </w:r>
      <w:r>
        <w:rPr>
          <w:rFonts w:hint="eastAsia" w:ascii="仿宋_GB2312" w:hAnsi="仿宋_GB2312" w:eastAsia="仿宋_GB2312" w:cs="仿宋_GB2312"/>
          <w:sz w:val="32"/>
          <w:szCs w:val="32"/>
          <w:lang w:val="en-US" w:eastAsia="zh-CN"/>
        </w:rPr>
        <w:t>湛江市生态环境局</w:t>
      </w:r>
    </w:p>
    <w:p>
      <w:pPr>
        <w:keepNext w:val="0"/>
        <w:keepLines w:val="0"/>
        <w:pageBreakBefore w:val="0"/>
        <w:widowControl w:val="0"/>
        <w:kinsoku/>
        <w:wordWrap/>
        <w:overflowPunct/>
        <w:topLinePunct w:val="0"/>
        <w:bidi w:val="0"/>
        <w:adjustRightInd/>
        <w:snapToGrid/>
        <w:spacing w:line="580" w:lineRule="exact"/>
        <w:ind w:left="4469" w:leftChars="2128"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2022年9月28日</w:t>
      </w:r>
    </w:p>
    <w:p/>
    <w:sectPr>
      <w:footerReference r:id="rId3" w:type="default"/>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小标宋">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5"/>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53D3B7"/>
    <w:multiLevelType w:val="singleLevel"/>
    <w:tmpl w:val="B553D3B7"/>
    <w:lvl w:ilvl="0" w:tentative="0">
      <w:start w:val="1"/>
      <w:numFmt w:val="bullet"/>
      <w:pStyle w:val="9"/>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xNWE2YjU2NWMzMDFlZDI0M2JjZTQ5NjZmNGEzNDQifQ=="/>
  </w:docVars>
  <w:rsids>
    <w:rsidRoot w:val="2AA23A96"/>
    <w:rsid w:val="148F527B"/>
    <w:rsid w:val="2AA23A96"/>
    <w:rsid w:val="387B0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qFormat="1"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ind w:firstLine="510"/>
      <w:jc w:val="center"/>
      <w:outlineLvl w:val="0"/>
    </w:pPr>
    <w:rPr>
      <w:sz w:val="28"/>
      <w:szCs w:val="20"/>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line="0" w:lineRule="atLeast"/>
    </w:pPr>
    <w:rPr>
      <w:rFonts w:eastAsia="小标宋"/>
      <w:sz w:val="44"/>
    </w:rPr>
  </w:style>
  <w:style w:type="paragraph" w:styleId="4">
    <w:name w:val="E-mail Signature"/>
    <w:basedOn w:val="1"/>
    <w:next w:val="5"/>
    <w:qFormat/>
    <w:uiPriority w:val="0"/>
    <w:pPr>
      <w:spacing w:line="460" w:lineRule="exact"/>
      <w:ind w:firstLine="200"/>
    </w:pPr>
    <w:rPr>
      <w:rFonts w:ascii="Times New Roman" w:hAnsi="Times New Roman" w:eastAsia="宋体" w:cs="Times New Roman"/>
    </w:rPr>
  </w:style>
  <w:style w:type="paragraph" w:customStyle="1" w:styleId="5">
    <w:name w:val="文章"/>
    <w:basedOn w:val="6"/>
    <w:next w:val="8"/>
    <w:qFormat/>
    <w:uiPriority w:val="0"/>
    <w:pPr>
      <w:widowControl/>
      <w:spacing w:line="240" w:lineRule="auto"/>
      <w:ind w:firstLine="480"/>
      <w:jc w:val="center"/>
    </w:pPr>
    <w:rPr>
      <w:rFonts w:ascii="Times New Roman" w:hAnsi="Times New Roman" w:eastAsia="宋体" w:cs="Times New Roman"/>
      <w:sz w:val="26"/>
    </w:rPr>
  </w:style>
  <w:style w:type="paragraph" w:styleId="6">
    <w:name w:val="Body Text Indent"/>
    <w:basedOn w:val="1"/>
    <w:next w:val="7"/>
    <w:qFormat/>
    <w:uiPriority w:val="0"/>
    <w:pPr>
      <w:ind w:left="720"/>
    </w:pPr>
    <w:rPr>
      <w:sz w:val="28"/>
    </w:rPr>
  </w:style>
  <w:style w:type="paragraph" w:customStyle="1" w:styleId="7">
    <w:name w:val="样式 标题 1一级标题 + 段前: 0.5 行 段后: 0.5 行"/>
    <w:basedOn w:val="3"/>
    <w:qFormat/>
    <w:uiPriority w:val="99"/>
    <w:pPr>
      <w:spacing w:line="320" w:lineRule="exact"/>
      <w:outlineLvl w:val="9"/>
    </w:pPr>
    <w:rPr>
      <w:spacing w:val="-6"/>
      <w:sz w:val="21"/>
      <w:szCs w:val="21"/>
    </w:rPr>
  </w:style>
  <w:style w:type="paragraph" w:styleId="8">
    <w:name w:val="List"/>
    <w:basedOn w:val="1"/>
    <w:next w:val="9"/>
    <w:unhideWhenUsed/>
    <w:qFormat/>
    <w:uiPriority w:val="0"/>
    <w:pPr>
      <w:jc w:val="center"/>
    </w:pPr>
    <w:rPr>
      <w:sz w:val="24"/>
      <w:szCs w:val="28"/>
    </w:rPr>
  </w:style>
  <w:style w:type="paragraph" w:styleId="9">
    <w:name w:val="List Bullet 2"/>
    <w:basedOn w:val="1"/>
    <w:next w:val="10"/>
    <w:uiPriority w:val="0"/>
    <w:pPr>
      <w:numPr>
        <w:ilvl w:val="0"/>
        <w:numId w:val="1"/>
      </w:numPr>
    </w:pPr>
  </w:style>
  <w:style w:type="paragraph" w:customStyle="1" w:styleId="10">
    <w:name w:val="xl70"/>
    <w:basedOn w:val="1"/>
    <w:next w:val="11"/>
    <w:qFormat/>
    <w:uiPriority w:val="0"/>
    <w:pPr>
      <w:widowControl/>
      <w:spacing w:before="280" w:after="280" w:line="240" w:lineRule="auto"/>
      <w:ind w:firstLine="0"/>
    </w:pPr>
    <w:rPr>
      <w:rFonts w:ascii="宋体" w:hAnsi="Times New Roman" w:eastAsia="宋体" w:cs="Times New Roman"/>
    </w:rPr>
  </w:style>
  <w:style w:type="paragraph" w:customStyle="1" w:styleId="11">
    <w:name w:val="正文缩进1"/>
    <w:basedOn w:val="1"/>
    <w:next w:val="12"/>
    <w:qFormat/>
    <w:uiPriority w:val="0"/>
    <w:pPr>
      <w:ind w:firstLine="420" w:firstLineChars="200"/>
    </w:pPr>
    <w:rPr>
      <w:rFonts w:ascii="Times New Roman" w:hAnsi="Times New Roman" w:eastAsia="宋体" w:cs="Times New Roman"/>
      <w:sz w:val="24"/>
      <w:szCs w:val="24"/>
    </w:rPr>
  </w:style>
  <w:style w:type="paragraph" w:customStyle="1" w:styleId="12">
    <w:name w:val="td1"/>
    <w:basedOn w:val="1"/>
    <w:next w:val="1"/>
    <w:qFormat/>
    <w:uiPriority w:val="0"/>
    <w:pPr>
      <w:widowControl/>
      <w:spacing w:before="280" w:after="280" w:line="300" w:lineRule="atLeast"/>
      <w:ind w:firstLine="200"/>
    </w:pPr>
    <w:rPr>
      <w:rFonts w:ascii="Times New Roman" w:hAnsi="Times New Roman" w:eastAsia="宋体" w:cs="Times New Roman"/>
      <w:color w:val="000000"/>
      <w:sz w:val="18"/>
    </w:rPr>
  </w:style>
  <w:style w:type="paragraph" w:styleId="13">
    <w:name w:val="caption"/>
    <w:basedOn w:val="1"/>
    <w:next w:val="1"/>
    <w:qFormat/>
    <w:uiPriority w:val="0"/>
    <w:rPr>
      <w:rFonts w:ascii="Calibri Light" w:hAnsi="Calibri Light" w:eastAsia="黑体" w:cs="Times New Roman"/>
      <w:sz w:val="20"/>
    </w:rPr>
  </w:style>
  <w:style w:type="paragraph" w:styleId="14">
    <w:name w:val="annotation text"/>
    <w:basedOn w:val="1"/>
    <w:qFormat/>
    <w:uiPriority w:val="0"/>
    <w:pPr>
      <w:jc w:val="left"/>
    </w:pPr>
    <w:rPr>
      <w:kern w:val="0"/>
      <w:sz w:val="20"/>
    </w:rPr>
  </w:style>
  <w:style w:type="paragraph" w:styleId="15">
    <w:name w:val="footer"/>
    <w:basedOn w:val="1"/>
    <w:semiHidden/>
    <w:unhideWhenUsed/>
    <w:qFormat/>
    <w:uiPriority w:val="99"/>
    <w:pPr>
      <w:tabs>
        <w:tab w:val="center" w:pos="4153"/>
        <w:tab w:val="right" w:pos="8306"/>
      </w:tabs>
      <w:snapToGrid w:val="0"/>
      <w:jc w:val="left"/>
    </w:pPr>
    <w:rPr>
      <w:sz w:val="18"/>
    </w:rPr>
  </w:style>
  <w:style w:type="paragraph" w:styleId="16">
    <w:name w:val="toc 2"/>
    <w:basedOn w:val="1"/>
    <w:next w:val="4"/>
    <w:qFormat/>
    <w:uiPriority w:val="0"/>
    <w:pPr>
      <w:ind w:left="210"/>
      <w:jc w:val="left"/>
    </w:pPr>
    <w:rPr>
      <w:rFonts w:ascii="Calibri" w:hAnsi="Calibri" w:eastAsia="宋体" w:cs="Calibri"/>
      <w:smallCaps/>
      <w:sz w:val="20"/>
    </w:rPr>
  </w:style>
  <w:style w:type="table" w:styleId="18">
    <w:name w:val="Table Grid"/>
    <w:basedOn w:val="1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20">
    <w:name w:val="Default"/>
    <w:basedOn w:val="21"/>
    <w:next w:val="22"/>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1">
    <w:name w:val="文本"/>
    <w:basedOn w:val="1"/>
    <w:next w:val="1"/>
    <w:qFormat/>
    <w:uiPriority w:val="0"/>
    <w:pPr>
      <w:autoSpaceDE w:val="0"/>
      <w:autoSpaceDN w:val="0"/>
      <w:ind w:firstLine="480"/>
    </w:pPr>
    <w:rPr>
      <w:lang w:val="zh-CN"/>
    </w:rPr>
  </w:style>
  <w:style w:type="paragraph" w:customStyle="1" w:styleId="22">
    <w:name w:val="样式35"/>
    <w:basedOn w:val="23"/>
    <w:next w:val="24"/>
    <w:qFormat/>
    <w:uiPriority w:val="0"/>
    <w:pPr>
      <w:tabs>
        <w:tab w:val="left" w:pos="0"/>
        <w:tab w:val="left" w:pos="360"/>
        <w:tab w:val="left" w:pos="540"/>
        <w:tab w:val="left" w:pos="567"/>
      </w:tabs>
      <w:spacing w:line="312" w:lineRule="auto"/>
      <w:ind w:firstLine="567"/>
    </w:pPr>
    <w:rPr>
      <w:rFonts w:ascii="宋体" w:hAnsi="Times New Roman" w:eastAsia="宋体" w:cs="Times New Roman"/>
      <w:sz w:val="28"/>
    </w:rPr>
  </w:style>
  <w:style w:type="paragraph" w:customStyle="1" w:styleId="23">
    <w:name w:val="表 内容"/>
    <w:basedOn w:val="1"/>
    <w:qFormat/>
    <w:uiPriority w:val="0"/>
    <w:pPr>
      <w:adjustRightInd w:val="0"/>
      <w:snapToGrid w:val="0"/>
      <w:spacing w:beforeLines="15" w:afterLines="15"/>
      <w:jc w:val="center"/>
    </w:pPr>
    <w:rPr>
      <w:sz w:val="21"/>
      <w:szCs w:val="21"/>
    </w:rPr>
  </w:style>
  <w:style w:type="paragraph" w:customStyle="1" w:styleId="24">
    <w:name w:val="font6"/>
    <w:basedOn w:val="1"/>
    <w:next w:val="16"/>
    <w:qFormat/>
    <w:uiPriority w:val="0"/>
    <w:pPr>
      <w:widowControl/>
      <w:spacing w:before="280" w:after="280" w:line="240" w:lineRule="auto"/>
      <w:ind w:firstLine="0"/>
    </w:pPr>
    <w:rPr>
      <w:rFonts w:ascii="Times New Roman" w:hAnsi="Times New Roman" w:eastAsia="宋体" w:cs="Times New Roman"/>
      <w:sz w:val="21"/>
    </w:rPr>
  </w:style>
  <w:style w:type="paragraph" w:customStyle="1" w:styleId="25">
    <w:name w:val="表内"/>
    <w:qFormat/>
    <w:uiPriority w:val="0"/>
    <w:pPr>
      <w:adjustRightInd w:val="0"/>
      <w:snapToGrid w:val="0"/>
      <w:ind w:left="-105" w:leftChars="-50" w:rightChars="-50"/>
      <w:jc w:val="center"/>
    </w:pPr>
    <w:rPr>
      <w:rFonts w:ascii="Times New Roman" w:hAnsi="Times New Roman" w:eastAsia="宋体" w:cs="Times New Roman"/>
      <w:sz w:val="21"/>
      <w:lang w:val="en-US" w:eastAsia="zh-CN" w:bidi="ar-SA"/>
    </w:rPr>
  </w:style>
  <w:style w:type="paragraph" w:styleId="26">
    <w:name w:val="No Spacing"/>
    <w:qFormat/>
    <w:uiPriority w:val="0"/>
    <w:pPr>
      <w:adjustRightInd w:val="0"/>
      <w:snapToGrid w:val="0"/>
    </w:pPr>
    <w:rPr>
      <w:rFonts w:ascii="Tahoma" w:hAnsi="Tahoma" w:eastAsia="微软雅黑" w:cs="Times New Roman"/>
      <w:sz w:val="22"/>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1269</Words>
  <Characters>1412</Characters>
  <Lines>0</Lines>
  <Paragraphs>0</Paragraphs>
  <TotalTime>0</TotalTime>
  <ScaleCrop>false</ScaleCrop>
  <LinksUpToDate>false</LinksUpToDate>
  <CharactersWithSpaces>1440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2022-09-27T08:32:00Z</dcterms:created>
  <dc:creator>sghnc</dc:creator>
  <cp:lastModifiedBy>sghnc</cp:lastModifiedBy>
  <cp:lastPrinted>2022-09-27T08:48:26Z</cp:lastPrinted>
  <dcterms:modified xsi:type="dcterms:W3CDTF">2022-09-27T09:09:00Z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FC2EE8D014D84BABB486D7149C3FAC23</vt:lpwstr>
  </property>
</Properties>
</file>