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湛</w:t>
      </w:r>
      <w:r>
        <w:rPr>
          <w:rFonts w:hint="eastAsia" w:ascii="仿宋_GB2312" w:eastAsia="仿宋_GB2312"/>
          <w:sz w:val="32"/>
          <w:szCs w:val="32"/>
          <w:lang w:eastAsia="zh-CN"/>
        </w:rPr>
        <w:t>环建霞</w:t>
      </w:r>
      <w:r>
        <w:rPr>
          <w:rFonts w:hint="eastAsia" w:ascii="仿宋_GB2312" w:eastAsia="仿宋_GB2312"/>
          <w:sz w:val="32"/>
          <w:szCs w:val="32"/>
        </w:rPr>
        <w:t>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pStyle w:val="6"/>
        <w:wordWrap/>
        <w:rPr>
          <w:rFonts w:hint="eastAsia"/>
          <w:sz w:val="15"/>
          <w:szCs w:val="15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36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36"/>
          <w:sz w:val="44"/>
          <w:szCs w:val="44"/>
          <w:lang w:val="en-US" w:eastAsia="zh-CN"/>
        </w:rPr>
        <w:t>广东金港糖业有限公司108万吨精糖</w:t>
      </w:r>
    </w:p>
    <w:p>
      <w:pPr>
        <w:spacing w:line="520" w:lineRule="exact"/>
        <w:jc w:val="center"/>
        <w:rPr>
          <w:rFonts w:ascii="小标宋" w:eastAsia="小标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36"/>
          <w:sz w:val="44"/>
          <w:szCs w:val="44"/>
          <w:lang w:val="en-US" w:eastAsia="zh-CN"/>
        </w:rPr>
        <w:t>加工搬迁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36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环境影响报告表的批复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广东金港糖业有限公司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报批的《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广东金港糖业有限公司108万吨精糖加工搬迁项目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环境影响报告表》（以下简称“报告表”）等材料收悉。经研究，批复如下：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广东金港糖业有限公司108万吨精糖加工搬迁项目属于整体搬迁项目，由原来地处雷州市客路镇的湛江金路糖业有限公司（核定精糖加工产能2000吨/日，下称“金路公司”）和地处麻章区湖光镇的湛江金海糖业有限公司（核定精糖加工产能1000吨/日，下称“金海公司”）两个加工项目，整体搬迁至新址，再重组为一个建设项目，新址为湛江市霞山区宝石路26号（综合保税区内）。搬迁后总产能为108万吨/年（3000吨/日），形成“广东金港糖业有限公司108万吨精糖加工搬迁项目”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总占地面积158400平方米，总建筑面积152880.55平方米。总投资89853万元，其中环保投资1964万元，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环保投资占比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报告表的评价结论，在全面落实报告表中提出的各项污染防治和风险防范措施，并确保污染物排放稳定达标且符合总量要求的前提下，项目按照报告表中所列性质、规模、地点和拟采取的环境保护措施进行建设，从环境保护角度可行。我局原则通过对报告表的审查，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应按照报告表内容组织实施。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严格执行“三同时”制度，并落实各项污染防治措施，污染防治设施要同时设计、同时施工、同时投入运行。项目竣工后，你公司须按规定的标准和程序，对配套建设的环境保护设施进行验收，验收合格后方可投入使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该项目须加强环保管理和“三废”防治设施维护，严格按照环评的要求做好各项污染防治措施，确保项目产生的废气、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废水、</w:t>
      </w:r>
      <w:r>
        <w:rPr>
          <w:rFonts w:hint="eastAsia" w:ascii="仿宋_GB2312" w:hAnsi="仿宋_GB2312" w:eastAsia="仿宋_GB2312" w:cs="仿宋_GB2312"/>
          <w:sz w:val="32"/>
          <w:szCs w:val="32"/>
        </w:rPr>
        <w:t>噪声得到有效治理和持续稳定达标排放。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）该项目生产过程产生的固体废物须严格按照有关规范管理，做好储存场所的防渗防漏措施，不能随意堆放，如实记录产生固体废物的种类、数量、利用、贮存、处置、流向等信息，存档备查。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）该项目须加强危险废物的管理。1.严格按照《危险废物贮存污染控制标准》（GB18597-2001及其2013年修改单）中的相关规定设计建设危险废物暂存间，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满足</w:t>
      </w:r>
      <w:r>
        <w:rPr>
          <w:rFonts w:hint="eastAsia" w:ascii="仿宋_GB2312" w:hAnsi="仿宋_GB2312" w:eastAsia="仿宋_GB2312" w:cs="仿宋_GB2312"/>
          <w:sz w:val="32"/>
          <w:szCs w:val="32"/>
        </w:rPr>
        <w:t>防雨、防渗、防风、防晒、防漏等要求，并设置截留沟；2.危险废物须交由有资质的单位进行安全处置；3.建立危险废物管理台账，存档备查。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（五）该项目运营期</w:t>
      </w:r>
      <w:r>
        <w:rPr>
          <w:rFonts w:hint="eastAsia" w:ascii="仿宋_GB2312" w:hAnsi="仿宋_GB2312" w:eastAsia="仿宋_GB2312" w:cs="仿宋_GB2312"/>
          <w:sz w:val="32"/>
          <w:szCs w:val="32"/>
        </w:rPr>
        <w:t>原料装卸料粉尘、石灰消和机加料粉尘、筛分糖粉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粉尘</w:t>
      </w:r>
      <w:r>
        <w:rPr>
          <w:rFonts w:hint="eastAsia" w:ascii="仿宋_GB2312" w:hAnsi="仿宋_GB2312" w:eastAsia="仿宋_GB2312" w:cs="仿宋_GB2312"/>
          <w:sz w:val="32"/>
          <w:szCs w:val="32"/>
        </w:rPr>
        <w:t>、振动筛选糖粉粉尘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包装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糖粉</w:t>
      </w:r>
      <w:r>
        <w:rPr>
          <w:rFonts w:hint="eastAsia" w:ascii="仿宋_GB2312" w:hAnsi="仿宋_GB2312" w:eastAsia="仿宋_GB2312" w:cs="仿宋_GB2312"/>
          <w:sz w:val="32"/>
          <w:szCs w:val="32"/>
        </w:rPr>
        <w:t>粉尘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废气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广东省《大气污染物排放限值》（DB44/27-2001）第二时段无组织排放监控浓度限值；备用柴油发电机尾气执行广东省《大气污染物排放限值》（DB44/27-2001）第二时段二级标准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滤泥发酵臭气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污水处理站臭气排放执行《恶臭污染物排放标准》（GB14554-93）新扩改建二级厂界标准值；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生产污水和生活污水经预处理后执行广东省地方标准《水污染物排放限值》（DB 44/26—2001）第二时段三级标准及《污水排入城镇下水道水质标准》（GB/T31962-2015）B级标准较严值后排入市政管网，引至临港工业园污水处理厂处理；厂界四周噪声执行《工业企业厂界环境噪声排放标准》（GB12348-2008）中3类标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四、若项目的性质、规模、地点、生产工艺或者防治污染的措施发生重大变动，应重新报批项目的环境影响评价文件。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5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left="0"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湛江市生态环境局</w:t>
      </w: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left="0" w:firstLine="640" w:firstLineChars="200"/>
        <w:jc w:val="right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2022年9月20日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E2YjU2NWMzMDFlZDI0M2JjZTQ5NjZmNGEzNDQifQ=="/>
  </w:docVars>
  <w:rsids>
    <w:rsidRoot w:val="23FD104A"/>
    <w:rsid w:val="23FD104A"/>
    <w:rsid w:val="387B0E2F"/>
    <w:rsid w:val="3DEA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5"/>
    <w:qFormat/>
    <w:uiPriority w:val="0"/>
    <w:pPr>
      <w:autoSpaceDE w:val="0"/>
      <w:autoSpaceDN w:val="0"/>
    </w:pPr>
    <w:rPr>
      <w:rFonts w:hAnsi="Times New Roman" w:eastAsia="宋体" w:cs="宋体"/>
      <w:color w:val="000000"/>
      <w:sz w:val="24"/>
      <w:szCs w:val="24"/>
    </w:rPr>
  </w:style>
  <w:style w:type="paragraph" w:customStyle="1" w:styleId="3">
    <w:name w:val="纯文本1"/>
    <w:basedOn w:val="1"/>
    <w:next w:val="4"/>
    <w:qFormat/>
    <w:uiPriority w:val="0"/>
    <w:pPr>
      <w:adjustRightInd w:val="0"/>
    </w:pPr>
    <w:rPr>
      <w:rFonts w:ascii="宋体" w:hAnsi="Courier New"/>
      <w:szCs w:val="20"/>
    </w:rPr>
  </w:style>
  <w:style w:type="paragraph" w:styleId="4">
    <w:name w:val="Plain Text"/>
    <w:basedOn w:val="1"/>
    <w:next w:val="1"/>
    <w:qFormat/>
    <w:uiPriority w:val="0"/>
    <w:rPr>
      <w:rFonts w:ascii="宋体" w:hAnsi="Courier New"/>
      <w:szCs w:val="21"/>
    </w:rPr>
  </w:style>
  <w:style w:type="paragraph" w:styleId="5">
    <w:name w:val="List"/>
    <w:basedOn w:val="1"/>
    <w:next w:val="1"/>
    <w:qFormat/>
    <w:uiPriority w:val="0"/>
    <w:pPr>
      <w:adjustRightInd w:val="0"/>
      <w:spacing w:line="288" w:lineRule="auto"/>
      <w:ind w:left="200" w:hanging="200" w:hangingChars="200"/>
      <w:textAlignment w:val="baseline"/>
    </w:pPr>
    <w:rPr>
      <w:rFonts w:ascii="Calibri" w:hAnsi="Calibri"/>
      <w:kern w:val="0"/>
      <w:sz w:val="24"/>
    </w:rPr>
  </w:style>
  <w:style w:type="paragraph" w:styleId="6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1287</Words>
  <Characters>1418</Characters>
  <Lines>0</Lines>
  <Paragraphs>0</Paragraphs>
  <TotalTime>4</TotalTime>
  <ScaleCrop>false</ScaleCrop>
  <LinksUpToDate>false</LinksUpToDate>
  <CharactersWithSpaces>1419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2022-09-15T02:44:00Z</dcterms:created>
  <dc:creator>sghnc</dc:creator>
  <cp:lastModifiedBy>sghnc</cp:lastModifiedBy>
  <dcterms:modified xsi:type="dcterms:W3CDTF">2022-09-20T02:11:06Z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1395D009F8F14F86953E531F14A6ACE5</vt:lpwstr>
  </property>
</Properties>
</file>