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局霞山分局关于湛江市飞凤三鸟交易市场建设</w:t>
      </w:r>
      <w:r>
        <w:rPr>
          <w:rFonts w:hint="eastAsia" w:ascii="微软雅黑" w:hAnsi="微软雅黑" w:eastAsia="微软雅黑" w:cs="微软雅黑"/>
          <w:i w:val="0"/>
          <w:caps w:val="0"/>
          <w:color w:val="000000"/>
          <w:spacing w:val="0"/>
          <w:sz w:val="45"/>
          <w:szCs w:val="45"/>
          <w:lang w:val="en-US" w:eastAsia="zh-CN"/>
        </w:rPr>
        <w:t>项目环境影响评价文件</w:t>
      </w:r>
      <w:r>
        <w:rPr>
          <w:rFonts w:hint="eastAsia" w:ascii="微软雅黑" w:hAnsi="微软雅黑" w:eastAsia="微软雅黑" w:cs="微软雅黑"/>
          <w:i w:val="0"/>
          <w:caps w:val="0"/>
          <w:color w:val="000000"/>
          <w:spacing w:val="0"/>
          <w:sz w:val="45"/>
          <w:szCs w:val="45"/>
        </w:rPr>
        <w:t>批复</w:t>
      </w:r>
      <w:r>
        <w:rPr>
          <w:rFonts w:hint="eastAsia" w:ascii="微软雅黑" w:hAnsi="微软雅黑" w:eastAsia="微软雅黑" w:cs="微软雅黑"/>
          <w:i w:val="0"/>
          <w:caps w:val="0"/>
          <w:color w:val="000000"/>
          <w:spacing w:val="0"/>
          <w:sz w:val="45"/>
          <w:szCs w:val="45"/>
        </w:rPr>
        <w:t>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根据建设项目环境影响评价审批程序的有关规定，经审查，2022年8月29日湛江市生态环境局霞山分局对湛江市飞凤三鸟交易市场建设项目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461"/>
        <w:gridCol w:w="1179"/>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46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17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关于湛江市飞凤三鸟交易市场建设项目环境影响报告表的批复</w:t>
            </w:r>
          </w:p>
        </w:tc>
        <w:tc>
          <w:tcPr>
            <w:tcW w:w="1461"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〔2022〕14号</w:t>
            </w:r>
          </w:p>
        </w:tc>
        <w:tc>
          <w:tcPr>
            <w:tcW w:w="117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29</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湛江市飞凤市场发展有限公司三鸟交易市场经营管理分公司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湛江市霞山区湖光路16号之一</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A5000A4"/>
    <w:rsid w:val="5C3C07ED"/>
    <w:rsid w:val="6588798C"/>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0</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2022-12-01T03:18:41Z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