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11</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关于</w:t>
      </w:r>
      <w:r>
        <w:rPr>
          <w:rFonts w:hint="eastAsia" w:ascii="方正小标宋简体" w:hAnsi="方正小标宋简体" w:eastAsia="方正小标宋简体" w:cs="方正小标宋简体"/>
          <w:w w:val="95"/>
          <w:sz w:val="44"/>
          <w:szCs w:val="44"/>
          <w:lang w:eastAsia="zh-CN"/>
        </w:rPr>
        <w:t>湛江渤海农业发展有限公司危险废物暂存间建设项目</w:t>
      </w:r>
      <w:r>
        <w:rPr>
          <w:rFonts w:hint="eastAsia" w:ascii="方正小标宋简体" w:hAnsi="方正小标宋简体" w:eastAsia="方正小标宋简体" w:cs="方正小标宋简体"/>
          <w:w w:val="95"/>
          <w:sz w:val="44"/>
          <w:szCs w:val="44"/>
        </w:rPr>
        <w:t>环境影响报告表的批复</w:t>
      </w:r>
    </w:p>
    <w:p>
      <w:pP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湛江渤海农业发展有限公司：</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你单位报批的《</w:t>
      </w:r>
      <w:r>
        <w:rPr>
          <w:rFonts w:hint="eastAsia" w:ascii="仿宋_GB2312" w:hAnsi="仿宋_GB2312" w:eastAsia="仿宋_GB2312" w:cs="仿宋_GB2312"/>
          <w:sz w:val="32"/>
          <w:szCs w:val="32"/>
          <w:lang w:eastAsia="zh-CN"/>
        </w:rPr>
        <w:t>湛江渤海农业发展有限公司危险废物暂存间建设项目</w:t>
      </w:r>
      <w:r>
        <w:rPr>
          <w:rFonts w:hint="eastAsia" w:ascii="仿宋_GB2312" w:hAnsi="仿宋_GB2312" w:eastAsia="仿宋_GB2312" w:cs="仿宋_GB2312"/>
          <w:sz w:val="32"/>
          <w:szCs w:val="32"/>
        </w:rPr>
        <w:t>环境影响报告表》（以下简称“</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”）等材料收悉。经研究，批复如下：</w:t>
      </w:r>
    </w:p>
    <w:p>
      <w:pPr>
        <w:pStyle w:val="34"/>
        <w:keepNext w:val="0"/>
        <w:keepLines w:val="0"/>
        <w:pageBreakBefore w:val="0"/>
        <w:kinsoku/>
        <w:wordWrap/>
        <w:overflowPunct/>
        <w:topLinePunct w:val="0"/>
        <w:autoSpaceDE/>
        <w:autoSpaceDN/>
        <w:bidi w:val="0"/>
        <w:adjustRightInd/>
        <w:snapToGrid/>
        <w:spacing w:line="600" w:lineRule="exact"/>
        <w:ind w:firstLine="48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kern w:val="2"/>
          <w:sz w:val="32"/>
          <w:szCs w:val="32"/>
          <w:lang w:val="en-US" w:eastAsia="zh-CN" w:bidi="ar-SA"/>
        </w:rPr>
        <w:t>湛江渤海农业发展有限公司拟在原厂区内建设“湛江渤海农业发展有限公司危险废物暂存间建设项目</w:t>
      </w:r>
      <w:r>
        <w:rPr>
          <w:rFonts w:hint="eastAsia" w:ascii="仿宋_GB2312" w:hAnsi="仿宋_GB2312" w:eastAsia="仿宋_GB2312" w:cs="仿宋_GB2312"/>
          <w:color w:val="auto"/>
          <w:kern w:val="2"/>
          <w:sz w:val="32"/>
          <w:szCs w:val="32"/>
          <w:lang w:val="en-US" w:eastAsia="zh-CN" w:bidi="ar-SA"/>
        </w:rPr>
        <w:t>”（以下简称“项目”）。项目总投资10万元，其中环保投资10万元。项目设置两间危废储存间：（1）危险废物储存间1占地面积为52m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，建筑面积为52m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，主要暂存废润滑油、废润滑油脂、废润滑油桶；（2）危险废物储存间2占地面积为52m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，建筑面积为52m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，主要暂存实验室废液和实验室废空瓶。</w:t>
      </w:r>
      <w:r>
        <w:rPr>
          <w:rFonts w:hint="default" w:ascii="仿宋_GB2312" w:hAnsi="仿宋_GB2312" w:eastAsia="仿宋_GB2312" w:cs="仿宋_GB2312"/>
          <w:color w:val="auto"/>
          <w:kern w:val="2"/>
          <w:sz w:val="32"/>
          <w:szCs w:val="32"/>
          <w:lang w:val="en-US" w:eastAsia="zh-CN" w:bidi="ar-SA"/>
        </w:rPr>
        <w:t>项目暂存的</w:t>
      </w:r>
      <w:bookmarkStart w:id="0" w:name="_GoBack"/>
      <w:bookmarkEnd w:id="0"/>
      <w:r>
        <w:rPr>
          <w:rFonts w:hint="eastAsia" w:ascii="仿宋_GB2312" w:hAnsi="仿宋_GB2312" w:eastAsia="仿宋_GB2312" w:cs="仿宋_GB2312"/>
          <w:color w:val="auto"/>
          <w:kern w:val="2"/>
          <w:sz w:val="32"/>
          <w:szCs w:val="32"/>
          <w:lang w:val="en-US" w:eastAsia="zh-CN" w:bidi="ar-SA"/>
        </w:rPr>
        <w:t>危险废物</w:t>
      </w:r>
      <w:r>
        <w:rPr>
          <w:rFonts w:hint="default" w:ascii="仿宋_GB2312" w:hAnsi="仿宋_GB2312" w:eastAsia="仿宋_GB2312" w:cs="仿宋_GB2312"/>
          <w:color w:val="auto"/>
          <w:kern w:val="2"/>
          <w:sz w:val="32"/>
          <w:szCs w:val="32"/>
          <w:lang w:val="en-US" w:eastAsia="zh-CN" w:bidi="ar-SA"/>
        </w:rPr>
        <w:t>主要来自于车辆、机械维修</w:t>
      </w:r>
      <w:r>
        <w:rPr>
          <w:rFonts w:hint="eastAsia" w:ascii="仿宋_GB2312" w:hAnsi="仿宋_GB2312" w:eastAsia="仿宋_GB2312" w:cs="仿宋_GB2312"/>
          <w:color w:val="auto"/>
          <w:kern w:val="2"/>
          <w:sz w:val="32"/>
          <w:szCs w:val="32"/>
          <w:lang w:val="en-US" w:eastAsia="zh-CN" w:bidi="ar-SA"/>
        </w:rPr>
        <w:t>以及实验室检验过程，项目无新增工作人员，由厂内抽调，年工作330天，一天两班制。</w:t>
      </w:r>
      <w:r>
        <w:rPr>
          <w:rFonts w:hint="default" w:ascii="仿宋_GB2312" w:hAnsi="仿宋_GB2312" w:eastAsia="仿宋_GB2312" w:cs="仿宋_GB2312"/>
          <w:color w:val="auto"/>
          <w:kern w:val="2"/>
          <w:sz w:val="32"/>
          <w:szCs w:val="32"/>
          <w:lang w:val="en-US" w:eastAsia="zh-CN" w:bidi="ar-SA"/>
        </w:rPr>
        <w:t>项目危险废物</w:t>
      </w:r>
      <w:r>
        <w:rPr>
          <w:rFonts w:hint="eastAsia" w:ascii="仿宋_GB2312" w:hAnsi="仿宋_GB2312" w:eastAsia="仿宋_GB2312" w:cs="仿宋_GB2312"/>
          <w:color w:val="auto"/>
          <w:kern w:val="2"/>
          <w:sz w:val="32"/>
          <w:szCs w:val="32"/>
          <w:lang w:val="en-US" w:eastAsia="zh-CN" w:bidi="ar-SA"/>
        </w:rPr>
        <w:t>暂</w:t>
      </w:r>
      <w:r>
        <w:rPr>
          <w:rFonts w:hint="default" w:ascii="仿宋_GB2312" w:hAnsi="仿宋_GB2312" w:eastAsia="仿宋_GB2312" w:cs="仿宋_GB2312"/>
          <w:color w:val="auto"/>
          <w:kern w:val="2"/>
          <w:sz w:val="32"/>
          <w:szCs w:val="32"/>
          <w:lang w:val="en-US" w:eastAsia="zh-CN" w:bidi="ar-SA"/>
        </w:rPr>
        <w:t>存情况详见表1</w:t>
      </w:r>
      <w:r>
        <w:rPr>
          <w:rFonts w:hint="eastAsia" w:ascii="仿宋_GB2312" w:hAnsi="仿宋_GB2312" w:eastAsia="仿宋_GB2312" w:cs="仿宋_GB2312"/>
          <w:color w:val="auto"/>
          <w:kern w:val="2"/>
          <w:sz w:val="32"/>
          <w:szCs w:val="32"/>
          <w:lang w:val="en-US" w:eastAsia="zh-CN" w:bidi="ar-SA"/>
        </w:rPr>
        <w:t>，工程内容见表2</w:t>
      </w:r>
      <w:r>
        <w:rPr>
          <w:rFonts w:hint="default" w:ascii="仿宋_GB2312" w:hAnsi="仿宋_GB2312" w:eastAsia="仿宋_GB2312" w:cs="仿宋_GB2312"/>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1"/>
        <w:rPr>
          <w:rFonts w:hint="eastAsia" w:ascii="仿宋_GB2312" w:hAnsi="仿宋_GB2312" w:eastAsia="仿宋_GB2312" w:cs="仿宋_GB2312"/>
          <w:b w:val="0"/>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1"/>
        <w:rPr>
          <w:rFonts w:hint="eastAsia" w:ascii="仿宋_GB2312" w:hAnsi="仿宋_GB2312" w:eastAsia="仿宋_GB2312" w:cs="仿宋_GB2312"/>
          <w:b/>
          <w:sz w:val="32"/>
          <w:szCs w:val="32"/>
        </w:rPr>
      </w:pPr>
      <w:r>
        <w:rPr>
          <w:rFonts w:hint="eastAsia" w:ascii="仿宋_GB2312" w:hAnsi="仿宋_GB2312" w:eastAsia="仿宋_GB2312" w:cs="仿宋_GB2312"/>
          <w:b w:val="0"/>
          <w:bCs/>
          <w:sz w:val="32"/>
          <w:szCs w:val="32"/>
          <w:lang w:eastAsia="zh-CN"/>
        </w:rPr>
        <w:t>表</w:t>
      </w:r>
      <w:r>
        <w:rPr>
          <w:rFonts w:hint="eastAsia" w:ascii="仿宋_GB2312" w:hAnsi="仿宋_GB2312" w:eastAsia="仿宋_GB2312" w:cs="仿宋_GB2312"/>
          <w:b w:val="0"/>
          <w:bCs/>
          <w:sz w:val="32"/>
          <w:szCs w:val="32"/>
          <w:lang w:val="en-US" w:eastAsia="zh-CN"/>
        </w:rPr>
        <w:t xml:space="preserve">1 </w:t>
      </w:r>
      <w:r>
        <w:rPr>
          <w:rFonts w:hint="eastAsia" w:ascii="仿宋_GB2312" w:hAnsi="仿宋_GB2312" w:eastAsia="仿宋_GB2312" w:cs="仿宋_GB2312"/>
          <w:b w:val="0"/>
          <w:bCs/>
          <w:sz w:val="32"/>
          <w:szCs w:val="32"/>
        </w:rPr>
        <w:t>项目危险废物</w:t>
      </w:r>
      <w:r>
        <w:rPr>
          <w:rFonts w:hint="eastAsia" w:ascii="仿宋_GB2312" w:hAnsi="仿宋_GB2312" w:eastAsia="仿宋_GB2312" w:cs="仿宋_GB2312"/>
          <w:b w:val="0"/>
          <w:bCs/>
          <w:sz w:val="32"/>
          <w:szCs w:val="32"/>
          <w:lang w:eastAsia="zh-CN"/>
        </w:rPr>
        <w:t>暂</w:t>
      </w:r>
      <w:r>
        <w:rPr>
          <w:rFonts w:hint="eastAsia" w:ascii="仿宋_GB2312" w:hAnsi="仿宋_GB2312" w:eastAsia="仿宋_GB2312" w:cs="仿宋_GB2312"/>
          <w:b w:val="0"/>
          <w:bCs/>
          <w:sz w:val="32"/>
          <w:szCs w:val="32"/>
        </w:rPr>
        <w:t>存情况表</w:t>
      </w:r>
    </w:p>
    <w:tbl>
      <w:tblPr>
        <w:tblStyle w:val="2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927"/>
        <w:gridCol w:w="609"/>
        <w:gridCol w:w="743"/>
        <w:gridCol w:w="659"/>
        <w:gridCol w:w="678"/>
        <w:gridCol w:w="581"/>
        <w:gridCol w:w="581"/>
        <w:gridCol w:w="871"/>
        <w:gridCol w:w="678"/>
        <w:gridCol w:w="678"/>
        <w:gridCol w:w="840"/>
        <w:gridCol w:w="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序号</w:t>
            </w:r>
          </w:p>
        </w:tc>
        <w:tc>
          <w:tcPr>
            <w:tcW w:w="511"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名称</w:t>
            </w:r>
          </w:p>
        </w:tc>
        <w:tc>
          <w:tcPr>
            <w:tcW w:w="336"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物态</w:t>
            </w:r>
          </w:p>
        </w:tc>
        <w:tc>
          <w:tcPr>
            <w:tcW w:w="410"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最大储存量（t）</w:t>
            </w:r>
          </w:p>
        </w:tc>
        <w:tc>
          <w:tcPr>
            <w:tcW w:w="364"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储存周期</w:t>
            </w:r>
          </w:p>
        </w:tc>
        <w:tc>
          <w:tcPr>
            <w:tcW w:w="374"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储存容器</w:t>
            </w:r>
          </w:p>
        </w:tc>
        <w:tc>
          <w:tcPr>
            <w:tcW w:w="321"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容器材质</w:t>
            </w:r>
          </w:p>
        </w:tc>
        <w:tc>
          <w:tcPr>
            <w:tcW w:w="321"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容器数量</w:t>
            </w:r>
          </w:p>
        </w:tc>
        <w:tc>
          <w:tcPr>
            <w:tcW w:w="480"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容器规格</w:t>
            </w:r>
          </w:p>
        </w:tc>
        <w:tc>
          <w:tcPr>
            <w:tcW w:w="374"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容器可容纳量</w:t>
            </w:r>
          </w:p>
        </w:tc>
        <w:tc>
          <w:tcPr>
            <w:tcW w:w="374"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危废种类</w:t>
            </w:r>
          </w:p>
        </w:tc>
        <w:tc>
          <w:tcPr>
            <w:tcW w:w="463"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主要成分</w:t>
            </w:r>
          </w:p>
        </w:tc>
        <w:tc>
          <w:tcPr>
            <w:tcW w:w="418" w:type="pct"/>
            <w:noWrap w:val="0"/>
            <w:vAlign w:val="center"/>
          </w:tcPr>
          <w:p>
            <w:pPr>
              <w:pStyle w:val="35"/>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危险特性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p>
        </w:tc>
        <w:tc>
          <w:tcPr>
            <w:tcW w:w="511"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废润滑油</w:t>
            </w:r>
          </w:p>
        </w:tc>
        <w:tc>
          <w:tcPr>
            <w:tcW w:w="336"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液态</w:t>
            </w:r>
          </w:p>
        </w:tc>
        <w:tc>
          <w:tcPr>
            <w:tcW w:w="410"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8</w:t>
            </w:r>
          </w:p>
        </w:tc>
        <w:tc>
          <w:tcPr>
            <w:tcW w:w="36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1年</w:t>
            </w:r>
          </w:p>
        </w:tc>
        <w:tc>
          <w:tcPr>
            <w:tcW w:w="37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润滑油桶</w:t>
            </w:r>
          </w:p>
        </w:tc>
        <w:tc>
          <w:tcPr>
            <w:tcW w:w="321"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铁</w:t>
            </w:r>
          </w:p>
        </w:tc>
        <w:tc>
          <w:tcPr>
            <w:tcW w:w="321"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40个</w:t>
            </w:r>
          </w:p>
        </w:tc>
        <w:tc>
          <w:tcPr>
            <w:tcW w:w="480"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250kg/个</w:t>
            </w:r>
          </w:p>
        </w:tc>
        <w:tc>
          <w:tcPr>
            <w:tcW w:w="37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10t</w:t>
            </w:r>
          </w:p>
        </w:tc>
        <w:tc>
          <w:tcPr>
            <w:tcW w:w="37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HW08</w:t>
            </w:r>
          </w:p>
        </w:tc>
        <w:tc>
          <w:tcPr>
            <w:tcW w:w="463"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废矿物油</w:t>
            </w:r>
          </w:p>
        </w:tc>
        <w:tc>
          <w:tcPr>
            <w:tcW w:w="418"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w:t>
            </w:r>
          </w:p>
        </w:tc>
        <w:tc>
          <w:tcPr>
            <w:tcW w:w="511"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废润滑油桶</w:t>
            </w:r>
          </w:p>
        </w:tc>
        <w:tc>
          <w:tcPr>
            <w:tcW w:w="336"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固体</w:t>
            </w:r>
          </w:p>
        </w:tc>
        <w:tc>
          <w:tcPr>
            <w:tcW w:w="410"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p>
        </w:tc>
        <w:tc>
          <w:tcPr>
            <w:tcW w:w="36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1年 </w:t>
            </w:r>
          </w:p>
        </w:tc>
        <w:tc>
          <w:tcPr>
            <w:tcW w:w="37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无</w:t>
            </w:r>
          </w:p>
        </w:tc>
        <w:tc>
          <w:tcPr>
            <w:tcW w:w="321"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无</w:t>
            </w:r>
          </w:p>
        </w:tc>
        <w:tc>
          <w:tcPr>
            <w:tcW w:w="321"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无</w:t>
            </w:r>
          </w:p>
        </w:tc>
        <w:tc>
          <w:tcPr>
            <w:tcW w:w="480"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w:t>
            </w:r>
          </w:p>
        </w:tc>
        <w:tc>
          <w:tcPr>
            <w:tcW w:w="37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w:t>
            </w:r>
          </w:p>
        </w:tc>
        <w:tc>
          <w:tcPr>
            <w:tcW w:w="374"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HW49</w:t>
            </w:r>
          </w:p>
        </w:tc>
        <w:tc>
          <w:tcPr>
            <w:tcW w:w="463"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废矿物油</w:t>
            </w:r>
          </w:p>
        </w:tc>
        <w:tc>
          <w:tcPr>
            <w:tcW w:w="418" w:type="pct"/>
            <w:noWrap w:val="0"/>
            <w:vAlign w:val="center"/>
          </w:tcPr>
          <w:p>
            <w:pPr>
              <w:pStyle w:val="35"/>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T/Tn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248"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51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实验室废液</w:t>
            </w:r>
          </w:p>
        </w:tc>
        <w:tc>
          <w:tcPr>
            <w:tcW w:w="336"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液态</w:t>
            </w:r>
          </w:p>
        </w:tc>
        <w:tc>
          <w:tcPr>
            <w:tcW w:w="410"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36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1年</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塑料桶</w:t>
            </w:r>
          </w:p>
        </w:tc>
        <w:tc>
          <w:tcPr>
            <w:tcW w:w="32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塑料</w:t>
            </w:r>
          </w:p>
        </w:tc>
        <w:tc>
          <w:tcPr>
            <w:tcW w:w="32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20个</w:t>
            </w:r>
          </w:p>
        </w:tc>
        <w:tc>
          <w:tcPr>
            <w:tcW w:w="480"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100kg/个</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2.0t</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HW49</w:t>
            </w:r>
          </w:p>
        </w:tc>
        <w:tc>
          <w:tcPr>
            <w:tcW w:w="463"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甲醇、乙醇</w:t>
            </w:r>
          </w:p>
        </w:tc>
        <w:tc>
          <w:tcPr>
            <w:tcW w:w="418"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T/C/I/R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248"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51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实验室废空瓶</w:t>
            </w:r>
          </w:p>
        </w:tc>
        <w:tc>
          <w:tcPr>
            <w:tcW w:w="336"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固体</w:t>
            </w:r>
          </w:p>
        </w:tc>
        <w:tc>
          <w:tcPr>
            <w:tcW w:w="410"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w:t>
            </w:r>
          </w:p>
        </w:tc>
        <w:tc>
          <w:tcPr>
            <w:tcW w:w="36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1年</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纸箱</w:t>
            </w:r>
          </w:p>
        </w:tc>
        <w:tc>
          <w:tcPr>
            <w:tcW w:w="32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瓦楞纸</w:t>
            </w:r>
          </w:p>
        </w:tc>
        <w:tc>
          <w:tcPr>
            <w:tcW w:w="32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31个</w:t>
            </w:r>
          </w:p>
        </w:tc>
        <w:tc>
          <w:tcPr>
            <w:tcW w:w="480"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100kg/个</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3.1t</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HW49</w:t>
            </w:r>
          </w:p>
        </w:tc>
        <w:tc>
          <w:tcPr>
            <w:tcW w:w="463"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甲醇、乙醇</w:t>
            </w:r>
          </w:p>
        </w:tc>
        <w:tc>
          <w:tcPr>
            <w:tcW w:w="418"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T/C/I/R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248"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950"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废润滑油脂</w:t>
            </w:r>
          </w:p>
        </w:tc>
        <w:tc>
          <w:tcPr>
            <w:tcW w:w="625"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液态</w:t>
            </w:r>
          </w:p>
        </w:tc>
        <w:tc>
          <w:tcPr>
            <w:tcW w:w="762"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0.5</w:t>
            </w:r>
          </w:p>
        </w:tc>
        <w:tc>
          <w:tcPr>
            <w:tcW w:w="677"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1年</w:t>
            </w:r>
          </w:p>
        </w:tc>
        <w:tc>
          <w:tcPr>
            <w:tcW w:w="695"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润滑油桶</w:t>
            </w:r>
          </w:p>
        </w:tc>
        <w:tc>
          <w:tcPr>
            <w:tcW w:w="597"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铁</w:t>
            </w:r>
          </w:p>
        </w:tc>
        <w:tc>
          <w:tcPr>
            <w:tcW w:w="597"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3个</w:t>
            </w:r>
          </w:p>
        </w:tc>
        <w:tc>
          <w:tcPr>
            <w:tcW w:w="892"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250kg/个</w:t>
            </w:r>
          </w:p>
        </w:tc>
        <w:tc>
          <w:tcPr>
            <w:tcW w:w="695"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0.75t</w:t>
            </w:r>
          </w:p>
        </w:tc>
        <w:tc>
          <w:tcPr>
            <w:tcW w:w="696"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HW08</w:t>
            </w:r>
          </w:p>
        </w:tc>
        <w:tc>
          <w:tcPr>
            <w:tcW w:w="861"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废矿物油</w:t>
            </w:r>
          </w:p>
        </w:tc>
        <w:tc>
          <w:tcPr>
            <w:tcW w:w="777" w:type="dxa"/>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合计</w:t>
            </w:r>
          </w:p>
        </w:tc>
        <w:tc>
          <w:tcPr>
            <w:tcW w:w="51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336"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410"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13.5</w:t>
            </w:r>
          </w:p>
        </w:tc>
        <w:tc>
          <w:tcPr>
            <w:tcW w:w="36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32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321"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480"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374"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463"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418" w:type="pct"/>
            <w:noWrap w:val="0"/>
            <w:vAlign w:val="center"/>
          </w:tcPr>
          <w:p>
            <w:pPr>
              <w:pStyle w:val="3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bl>
    <w:p>
      <w:pPr>
        <w:pStyle w:val="20"/>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 xml:space="preserve">表2 </w:t>
      </w:r>
      <w:r>
        <w:rPr>
          <w:rFonts w:hint="eastAsia" w:ascii="仿宋_GB2312" w:hAnsi="仿宋_GB2312" w:eastAsia="仿宋_GB2312" w:cs="仿宋_GB2312"/>
          <w:kern w:val="2"/>
          <w:sz w:val="32"/>
          <w:szCs w:val="32"/>
          <w:lang w:val="en-US" w:eastAsia="zh-CN" w:bidi="ar-SA"/>
        </w:rPr>
        <w:t>项目工程内容</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2306"/>
        <w:gridCol w:w="5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blHeader/>
        </w:trPr>
        <w:tc>
          <w:tcPr>
            <w:tcW w:w="1353" w:type="dxa"/>
            <w:noWrap w:val="0"/>
            <w:vAlign w:val="center"/>
          </w:tcPr>
          <w:p>
            <w:pPr>
              <w:pStyle w:val="36"/>
              <w:widowControl w:val="0"/>
              <w:ind w:right="-105"/>
              <w:rPr>
                <w:rFonts w:hint="eastAsia" w:ascii="仿宋_GB2312" w:hAnsi="仿宋_GB2312" w:eastAsia="仿宋_GB2312" w:cs="仿宋_GB2312"/>
                <w:b/>
                <w:bCs/>
                <w:color w:val="auto"/>
                <w:kern w:val="0"/>
                <w:sz w:val="21"/>
                <w:szCs w:val="21"/>
                <w:lang w:val="en-US" w:eastAsia="zh-CN" w:bidi="ar-SA"/>
              </w:rPr>
            </w:pPr>
            <w:r>
              <w:rPr>
                <w:rFonts w:hint="eastAsia" w:ascii="仿宋_GB2312" w:hAnsi="仿宋_GB2312" w:eastAsia="仿宋_GB2312" w:cs="仿宋_GB2312"/>
                <w:b/>
                <w:bCs/>
                <w:color w:val="auto"/>
                <w:kern w:val="0"/>
                <w:sz w:val="21"/>
                <w:szCs w:val="21"/>
                <w:lang w:val="en-US" w:eastAsia="zh-CN" w:bidi="ar-SA"/>
              </w:rPr>
              <w:t>工程类别</w:t>
            </w:r>
          </w:p>
        </w:tc>
        <w:tc>
          <w:tcPr>
            <w:tcW w:w="2306" w:type="dxa"/>
            <w:noWrap w:val="0"/>
            <w:vAlign w:val="center"/>
          </w:tcPr>
          <w:p>
            <w:pPr>
              <w:pStyle w:val="36"/>
              <w:widowControl w:val="0"/>
              <w:ind w:right="-105"/>
              <w:rPr>
                <w:rFonts w:hint="eastAsia" w:ascii="仿宋_GB2312" w:hAnsi="仿宋_GB2312" w:eastAsia="仿宋_GB2312" w:cs="仿宋_GB2312"/>
                <w:b/>
                <w:bCs/>
                <w:color w:val="auto"/>
                <w:kern w:val="0"/>
                <w:sz w:val="21"/>
                <w:szCs w:val="21"/>
                <w:lang w:val="en-US" w:eastAsia="zh-CN" w:bidi="ar-SA"/>
              </w:rPr>
            </w:pPr>
            <w:r>
              <w:rPr>
                <w:rFonts w:hint="eastAsia" w:ascii="仿宋_GB2312" w:hAnsi="仿宋_GB2312" w:eastAsia="仿宋_GB2312" w:cs="仿宋_GB2312"/>
                <w:b/>
                <w:bCs/>
                <w:color w:val="auto"/>
                <w:kern w:val="0"/>
                <w:sz w:val="21"/>
                <w:szCs w:val="21"/>
                <w:lang w:val="en-US" w:eastAsia="zh-CN" w:bidi="ar-SA"/>
              </w:rPr>
              <w:t>工程名称</w:t>
            </w:r>
          </w:p>
        </w:tc>
        <w:tc>
          <w:tcPr>
            <w:tcW w:w="5401" w:type="dxa"/>
            <w:noWrap w:val="0"/>
            <w:vAlign w:val="center"/>
          </w:tcPr>
          <w:p>
            <w:pPr>
              <w:pStyle w:val="36"/>
              <w:widowControl w:val="0"/>
              <w:ind w:right="-105"/>
              <w:rPr>
                <w:rFonts w:hint="eastAsia" w:ascii="仿宋_GB2312" w:hAnsi="仿宋_GB2312" w:eastAsia="仿宋_GB2312" w:cs="仿宋_GB2312"/>
                <w:b/>
                <w:bCs/>
                <w:color w:val="auto"/>
                <w:kern w:val="0"/>
                <w:sz w:val="21"/>
                <w:szCs w:val="21"/>
                <w:lang w:val="en-US" w:eastAsia="zh-CN" w:bidi="ar-SA"/>
              </w:rPr>
            </w:pPr>
            <w:r>
              <w:rPr>
                <w:rFonts w:hint="eastAsia" w:ascii="仿宋_GB2312" w:hAnsi="仿宋_GB2312" w:eastAsia="仿宋_GB2312" w:cs="仿宋_GB2312"/>
                <w:b/>
                <w:bCs/>
                <w:color w:val="auto"/>
                <w:kern w:val="0"/>
                <w:sz w:val="21"/>
                <w:szCs w:val="21"/>
                <w:lang w:val="en-US" w:eastAsia="zh-CN" w:bidi="ar-SA"/>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353" w:type="dxa"/>
            <w:vMerge w:val="restart"/>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环保工程</w:t>
            </w:r>
          </w:p>
        </w:tc>
        <w:tc>
          <w:tcPr>
            <w:tcW w:w="2306" w:type="dxa"/>
            <w:vMerge w:val="restart"/>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固体废物处置</w:t>
            </w:r>
          </w:p>
        </w:tc>
        <w:tc>
          <w:tcPr>
            <w:tcW w:w="5401"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暂存间内固废分类暂存，入库危险废物存于库房储存区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1353" w:type="dxa"/>
            <w:vMerge w:val="continue"/>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p>
        </w:tc>
        <w:tc>
          <w:tcPr>
            <w:tcW w:w="2306" w:type="dxa"/>
            <w:vMerge w:val="continue"/>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p>
        </w:tc>
        <w:tc>
          <w:tcPr>
            <w:tcW w:w="5401"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危废储存间1占地为面积为52m</w:t>
            </w:r>
            <w:r>
              <w:rPr>
                <w:rFonts w:hint="eastAsia" w:ascii="仿宋_GB2312" w:hAnsi="仿宋_GB2312" w:eastAsia="仿宋_GB2312" w:cs="仿宋_GB2312"/>
                <w:color w:val="auto"/>
                <w:kern w:val="0"/>
                <w:sz w:val="21"/>
                <w:szCs w:val="21"/>
                <w:vertAlign w:val="superscript"/>
                <w:lang w:val="en-US" w:eastAsia="zh-CN" w:bidi="ar-SA"/>
              </w:rPr>
              <w:t>2</w:t>
            </w:r>
            <w:r>
              <w:rPr>
                <w:rFonts w:hint="eastAsia" w:ascii="仿宋_GB2312" w:hAnsi="仿宋_GB2312" w:eastAsia="仿宋_GB2312" w:cs="仿宋_GB2312"/>
                <w:color w:val="auto"/>
                <w:kern w:val="0"/>
                <w:sz w:val="21"/>
                <w:szCs w:val="21"/>
                <w:lang w:val="en-US" w:eastAsia="zh-CN" w:bidi="ar-SA"/>
              </w:rPr>
              <w:t>，主要用于暂存废润滑油、废润滑油脂和废润滑油桶；危废储存间2占地为面积为52m</w:t>
            </w:r>
            <w:r>
              <w:rPr>
                <w:rFonts w:hint="eastAsia" w:ascii="仿宋_GB2312" w:hAnsi="仿宋_GB2312" w:eastAsia="仿宋_GB2312" w:cs="仿宋_GB2312"/>
                <w:color w:val="auto"/>
                <w:kern w:val="0"/>
                <w:sz w:val="21"/>
                <w:szCs w:val="21"/>
                <w:vertAlign w:val="superscript"/>
                <w:lang w:val="en-US" w:eastAsia="zh-CN" w:bidi="ar-SA"/>
              </w:rPr>
              <w:t>2</w:t>
            </w:r>
            <w:r>
              <w:rPr>
                <w:rFonts w:hint="eastAsia" w:ascii="仿宋_GB2312" w:hAnsi="仿宋_GB2312" w:eastAsia="仿宋_GB2312" w:cs="仿宋_GB2312"/>
                <w:color w:val="auto"/>
                <w:kern w:val="0"/>
                <w:sz w:val="21"/>
                <w:szCs w:val="21"/>
                <w:lang w:val="en-US" w:eastAsia="zh-CN" w:bidi="ar-SA"/>
              </w:rPr>
              <w:t>，主要用于暂存实验室废液和实验室废空瓶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353" w:type="dxa"/>
            <w:vMerge w:val="continue"/>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p>
        </w:tc>
        <w:tc>
          <w:tcPr>
            <w:tcW w:w="2306"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事故应急池</w:t>
            </w:r>
          </w:p>
        </w:tc>
        <w:tc>
          <w:tcPr>
            <w:tcW w:w="5401"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依托原厂区1个384m</w:t>
            </w:r>
            <w:r>
              <w:rPr>
                <w:rFonts w:hint="eastAsia" w:ascii="仿宋_GB2312" w:hAnsi="仿宋_GB2312" w:eastAsia="仿宋_GB2312" w:cs="仿宋_GB2312"/>
                <w:color w:val="auto"/>
                <w:kern w:val="0"/>
                <w:sz w:val="21"/>
                <w:szCs w:val="21"/>
                <w:vertAlign w:val="superscript"/>
                <w:lang w:val="en-US" w:eastAsia="zh-CN" w:bidi="ar-SA"/>
              </w:rPr>
              <w:t>3</w:t>
            </w:r>
            <w:r>
              <w:rPr>
                <w:rFonts w:hint="eastAsia" w:ascii="仿宋_GB2312" w:hAnsi="仿宋_GB2312" w:eastAsia="仿宋_GB2312" w:cs="仿宋_GB2312"/>
                <w:color w:val="auto"/>
                <w:kern w:val="0"/>
                <w:sz w:val="21"/>
                <w:szCs w:val="21"/>
                <w:lang w:val="en-US" w:eastAsia="zh-CN" w:bidi="ar-SA"/>
              </w:rPr>
              <w:t>应急池，项目不新建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353" w:type="dxa"/>
            <w:vMerge w:val="continue"/>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p>
        </w:tc>
        <w:tc>
          <w:tcPr>
            <w:tcW w:w="2306"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围堰</w:t>
            </w:r>
          </w:p>
        </w:tc>
        <w:tc>
          <w:tcPr>
            <w:tcW w:w="5401"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设6-9cm的围堰，采取防渗、防腐措施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353" w:type="dxa"/>
            <w:vMerge w:val="continue"/>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p>
        </w:tc>
        <w:tc>
          <w:tcPr>
            <w:tcW w:w="2306"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收集沟</w:t>
            </w:r>
          </w:p>
        </w:tc>
        <w:tc>
          <w:tcPr>
            <w:tcW w:w="5401"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设置收集沟至事故应急池（收集沟和厂区事故应急池连通），地面截流，收集沟长3.8m，宽0.33m，深0.10m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353" w:type="dxa"/>
            <w:vMerge w:val="continue"/>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p>
        </w:tc>
        <w:tc>
          <w:tcPr>
            <w:tcW w:w="2306" w:type="dxa"/>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防渗结构</w:t>
            </w:r>
          </w:p>
        </w:tc>
        <w:tc>
          <w:tcPr>
            <w:tcW w:w="5401" w:type="dxa"/>
            <w:noWrap w:val="0"/>
            <w:vAlign w:val="center"/>
          </w:tcPr>
          <w:p>
            <w:pPr>
              <w:pStyle w:val="36"/>
              <w:widowControl w:val="0"/>
              <w:ind w:left="0" w:leftChars="0" w:right="0" w:rightChars="0"/>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水泥地面、收集沟、应急池等均采取防渗、防腐措施，采用黏土铺底，上铺混凝土层进行硬化，具体防渗方案如下：垫层：40cm混凝土，防渗层渗透系数≤10</w:t>
            </w:r>
            <w:r>
              <w:rPr>
                <w:rFonts w:hint="eastAsia" w:ascii="仿宋_GB2312" w:hAnsi="仿宋_GB2312" w:eastAsia="仿宋_GB2312" w:cs="仿宋_GB2312"/>
                <w:color w:val="auto"/>
                <w:kern w:val="0"/>
                <w:sz w:val="21"/>
                <w:szCs w:val="21"/>
                <w:vertAlign w:val="superscript"/>
                <w:lang w:val="en-US" w:eastAsia="zh-CN" w:bidi="ar-SA"/>
              </w:rPr>
              <w:t>-7</w:t>
            </w:r>
            <w:r>
              <w:rPr>
                <w:rFonts w:hint="eastAsia" w:ascii="仿宋_GB2312" w:hAnsi="仿宋_GB2312" w:eastAsia="仿宋_GB2312" w:cs="仿宋_GB2312"/>
                <w:color w:val="auto"/>
                <w:kern w:val="0"/>
                <w:sz w:val="21"/>
                <w:szCs w:val="21"/>
                <w:lang w:val="en-US" w:eastAsia="zh-CN" w:bidi="ar-SA"/>
              </w:rPr>
              <w:t>cm/s。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353" w:type="dxa"/>
            <w:vMerge w:val="continue"/>
            <w:noWrap w:val="0"/>
            <w:vAlign w:val="center"/>
          </w:tcPr>
          <w:p>
            <w:pPr>
              <w:pStyle w:val="36"/>
              <w:widowControl w:val="0"/>
              <w:ind w:right="-105"/>
              <w:rPr>
                <w:rFonts w:hint="eastAsia" w:ascii="仿宋_GB2312" w:hAnsi="仿宋_GB2312" w:eastAsia="仿宋_GB2312" w:cs="仿宋_GB2312"/>
                <w:color w:val="auto"/>
                <w:kern w:val="0"/>
                <w:sz w:val="21"/>
                <w:szCs w:val="21"/>
                <w:lang w:val="en-US" w:eastAsia="zh-CN" w:bidi="ar-SA"/>
              </w:rPr>
            </w:pPr>
          </w:p>
        </w:tc>
        <w:tc>
          <w:tcPr>
            <w:tcW w:w="2306" w:type="dxa"/>
            <w:noWrap w:val="0"/>
            <w:vAlign w:val="center"/>
          </w:tcPr>
          <w:p>
            <w:pPr>
              <w:pStyle w:val="37"/>
              <w:widowControl w:val="0"/>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防腐结构</w:t>
            </w:r>
          </w:p>
        </w:tc>
        <w:tc>
          <w:tcPr>
            <w:tcW w:w="5401" w:type="dxa"/>
            <w:noWrap w:val="0"/>
            <w:vAlign w:val="center"/>
          </w:tcPr>
          <w:p>
            <w:pPr>
              <w:pStyle w:val="37"/>
              <w:widowControl w:val="0"/>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地面、裙脚、应急池结构采用防腐卷材做防腐层，防腐等级达到户内防强腐蚀型：F2</w:t>
            </w:r>
          </w:p>
        </w:tc>
      </w:tr>
    </w:tbl>
    <w:p>
      <w:pPr>
        <w:pStyle w:val="34"/>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Times New Roman" w:hAnsi="Times New Roman" w:eastAsia="仿宋_GB2312" w:cs="Times New Roman"/>
          <w:color w:val="000000"/>
          <w:sz w:val="32"/>
          <w:szCs w:val="32"/>
          <w:lang w:val="en-US" w:eastAsia="zh-CN"/>
        </w:rPr>
      </w:pPr>
      <w:r>
        <w:rPr>
          <w:rFonts w:hint="eastAsia" w:ascii="仿宋_GB2312" w:hAnsi="仿宋_GB2312" w:eastAsia="仿宋_GB2312" w:cs="仿宋_GB2312"/>
          <w:color w:val="auto"/>
          <w:sz w:val="32"/>
          <w:szCs w:val="32"/>
          <w:lang w:eastAsia="zh-CN"/>
        </w:rPr>
        <w:t>项目只</w:t>
      </w:r>
      <w:r>
        <w:rPr>
          <w:rFonts w:hint="eastAsia" w:ascii="仿宋_GB2312" w:hAnsi="仿宋_GB2312" w:eastAsia="仿宋_GB2312" w:cs="仿宋_GB2312"/>
          <w:color w:val="auto"/>
          <w:sz w:val="32"/>
          <w:szCs w:val="32"/>
          <w:lang w:val="en-US" w:eastAsia="zh-CN"/>
        </w:rPr>
        <w:t>收集湛江渤海农业发展有限公司内部产生的危险废物，在生产过程中将其产生的危险废物分类收集后，贮存于危险废物储存间，定期交由有该类危废处理资质单位处置，不涉及危险废物的处置与加工再利用。项目危险废物暂存间最大暂存量为13.5t，厂区暂存周期以实际产生、贮存情况定，待暂存间达到最大暂存量时及时安排转运出厂，储存期不超过1年</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的评价结论及湛江市生态环境技术中心《关于</w:t>
      </w:r>
      <w:r>
        <w:rPr>
          <w:rFonts w:hint="eastAsia" w:ascii="仿宋_GB2312" w:hAnsi="仿宋_GB2312" w:eastAsia="仿宋_GB2312" w:cs="仿宋_GB2312"/>
          <w:sz w:val="32"/>
          <w:szCs w:val="32"/>
          <w:lang w:eastAsia="zh-CN"/>
        </w:rPr>
        <w:t>湛江渤海农业发展有限公司危险废物暂存间建设项目</w:t>
      </w:r>
      <w:r>
        <w:rPr>
          <w:rFonts w:hint="eastAsia" w:ascii="仿宋_GB2312" w:hAnsi="仿宋_GB2312" w:eastAsia="仿宋_GB2312" w:cs="仿宋_GB2312"/>
          <w:sz w:val="32"/>
          <w:szCs w:val="32"/>
        </w:rPr>
        <w:t>环境影响报告表的评估意见》（湛环技评表〔202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56</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的审查，你公司应按照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该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项目须加强危险废物的管理。1.严格按照《危险废物贮存污染控制标准》（GB18597-2001及其2013年修改单）中的相关规定设计建设危险废物暂存间，满足防雨、防渗、防风、防晒、防漏等要求；2.危险废物须交由有资质的单位进行安全处置；3.建立危险废物管理台账，如实记录产生固体废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仿宋_GB2312" w:hAnsi="仿宋_GB2312" w:eastAsia="仿宋_GB2312" w:cs="仿宋_GB2312"/>
          <w:sz w:val="32"/>
          <w:szCs w:val="32"/>
          <w:lang w:val="en-US" w:eastAsia="zh-CN"/>
        </w:rPr>
        <w:t>（三）该项目</w:t>
      </w:r>
      <w:r>
        <w:rPr>
          <w:rFonts w:hint="eastAsia" w:ascii="Times New Roman" w:hAnsi="Times New Roman" w:eastAsia="仿宋_GB2312" w:cs="Times New Roman"/>
          <w:color w:val="000000"/>
          <w:sz w:val="32"/>
          <w:szCs w:val="32"/>
          <w:lang w:val="en-US" w:eastAsia="zh-CN"/>
        </w:rPr>
        <w:t>经处理后的</w:t>
      </w:r>
      <w:r>
        <w:rPr>
          <w:rFonts w:hint="default" w:ascii="Times New Roman" w:hAnsi="Times New Roman" w:eastAsia="仿宋_GB2312" w:cs="Times New Roman"/>
          <w:color w:val="auto"/>
          <w:sz w:val="32"/>
          <w:szCs w:val="32"/>
          <w:lang w:val="en-US" w:eastAsia="zh-CN"/>
        </w:rPr>
        <w:t>厂界无组织非甲烷总烃</w:t>
      </w:r>
      <w:r>
        <w:rPr>
          <w:rFonts w:hint="eastAsia" w:ascii="Times New Roman" w:hAnsi="Times New Roman" w:eastAsia="仿宋_GB2312" w:cs="Times New Roman"/>
          <w:color w:val="auto"/>
          <w:sz w:val="32"/>
          <w:szCs w:val="32"/>
          <w:lang w:val="en-US" w:eastAsia="zh-CN"/>
        </w:rPr>
        <w:t>执行</w:t>
      </w:r>
      <w:r>
        <w:rPr>
          <w:rFonts w:hint="default" w:ascii="Times New Roman" w:hAnsi="Times New Roman" w:eastAsia="仿宋_GB2312" w:cs="Times New Roman"/>
          <w:color w:val="auto"/>
          <w:sz w:val="32"/>
          <w:szCs w:val="32"/>
          <w:lang w:val="en-US" w:eastAsia="zh-CN"/>
        </w:rPr>
        <w:t>广东省地方标准《大气污染物排放限值》（DB44/27- 2001）中第二时段无组织排放监控浓度限值要求（4.0mg/m</w:t>
      </w:r>
      <w:r>
        <w:rPr>
          <w:rFonts w:hint="default" w:ascii="Times New Roman" w:hAnsi="Times New Roman" w:eastAsia="仿宋_GB2312" w:cs="Times New Roman"/>
          <w:color w:val="auto"/>
          <w:sz w:val="32"/>
          <w:szCs w:val="32"/>
          <w:vertAlign w:val="superscript"/>
          <w:lang w:val="en-US" w:eastAsia="zh-CN"/>
        </w:rPr>
        <w:t>3</w:t>
      </w:r>
      <w:r>
        <w:rPr>
          <w:rFonts w:hint="default" w:ascii="Times New Roman" w:hAnsi="Times New Roman" w:eastAsia="仿宋_GB2312" w:cs="Times New Roman"/>
          <w:color w:val="auto"/>
          <w:sz w:val="32"/>
          <w:szCs w:val="32"/>
          <w:lang w:val="en-US" w:eastAsia="zh-CN"/>
        </w:rPr>
        <w:t>），厂区内非甲烷总烃无组织排放监控点浓度</w:t>
      </w:r>
      <w:r>
        <w:rPr>
          <w:rFonts w:hint="eastAsia" w:ascii="Times New Roman" w:hAnsi="Times New Roman" w:eastAsia="仿宋_GB2312" w:cs="Times New Roman"/>
          <w:color w:val="auto"/>
          <w:sz w:val="32"/>
          <w:szCs w:val="32"/>
          <w:lang w:val="en-US" w:eastAsia="zh-CN"/>
        </w:rPr>
        <w:t>执行</w:t>
      </w:r>
      <w:r>
        <w:rPr>
          <w:rFonts w:hint="default" w:ascii="Times New Roman" w:hAnsi="Times New Roman" w:eastAsia="仿宋_GB2312" w:cs="Times New Roman"/>
          <w:color w:val="auto"/>
          <w:sz w:val="32"/>
          <w:szCs w:val="32"/>
          <w:lang w:val="en-US" w:eastAsia="zh-CN"/>
        </w:rPr>
        <w:t>《挥发性有机物无组织排放控制标准》（GB37822-2019）表 A.1 规定的特别排放限值要求</w:t>
      </w:r>
      <w:r>
        <w:rPr>
          <w:rFonts w:hint="eastAsia" w:ascii="Times New Roman" w:hAnsi="Times New Roman" w:eastAsia="仿宋_GB2312" w:cs="Times New Roman"/>
          <w:color w:val="000000"/>
          <w:sz w:val="32"/>
          <w:szCs w:val="32"/>
          <w:lang w:val="en-US" w:eastAsia="zh-CN"/>
        </w:rPr>
        <w:t>。</w:t>
      </w:r>
    </w:p>
    <w:p>
      <w:pPr>
        <w:pStyle w:val="2"/>
        <w:rPr>
          <w:rFonts w:hint="eastAsia"/>
          <w:lang w:val="en-US" w:eastAsia="zh-CN"/>
        </w:rPr>
      </w:pPr>
      <w:r>
        <w:rPr>
          <w:rFonts w:hint="eastAsia" w:ascii="Times New Roman" w:eastAsia="仿宋_GB2312" w:cs="Times New Roman"/>
          <w:color w:val="000000"/>
          <w:sz w:val="32"/>
          <w:szCs w:val="32"/>
          <w:lang w:val="en-US" w:eastAsia="zh-CN"/>
        </w:rPr>
        <w:t>（四）该项目厂界噪声执行《工业企业厂界环境噪声排放标准》（GB12348-2008）中的3类功能区标准要求。</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、若项目的性质、规模、地点、工艺或者防治污染的措施发生重大变动，应重新报批项目的环境影响评价文件。</w:t>
      </w:r>
    </w:p>
    <w:p>
      <w:pPr>
        <w:keepNext w:val="0"/>
        <w:keepLines w:val="0"/>
        <w:pageBreakBefore w:val="0"/>
        <w:widowControl w:val="0"/>
        <w:kinsoku/>
        <w:wordWrap/>
        <w:overflowPunct/>
        <w:topLinePunct w:val="0"/>
        <w:bidi w:val="0"/>
        <w:adjustRightInd/>
        <w:snapToGrid/>
        <w:spacing w:line="580" w:lineRule="exact"/>
        <w:textAlignment w:val="auto"/>
        <w:rPr>
          <w:rFonts w:hint="eastAsia" w:ascii="仿宋_GB2312" w:hAnsi="仿宋_GB2312" w:eastAsia="仿宋_GB2312" w:cs="仿宋_GB2312"/>
        </w:rPr>
      </w:pPr>
    </w:p>
    <w:p>
      <w:pPr>
        <w:pStyle w:val="2"/>
        <w:keepNext w:val="0"/>
        <w:keepLines w:val="0"/>
        <w:pageBreakBefore w:val="0"/>
        <w:kinsoku/>
        <w:wordWrap/>
        <w:overflowPunct/>
        <w:topLinePunct w:val="0"/>
        <w:bidi w:val="0"/>
        <w:snapToGrid/>
        <w:spacing w:line="580" w:lineRule="exact"/>
        <w:textAlignment w:val="auto"/>
        <w:rPr>
          <w:rFonts w:hint="eastAsia" w:ascii="仿宋_GB2312" w:hAnsi="仿宋_GB2312" w:eastAsia="仿宋_GB2312" w:cs="仿宋_GB2312"/>
        </w:rPr>
      </w:pPr>
    </w:p>
    <w:p>
      <w:pPr>
        <w:pStyle w:val="20"/>
        <w:keepNext w:val="0"/>
        <w:keepLines w:val="0"/>
        <w:pageBreakBefore w:val="0"/>
        <w:widowControl w:val="0"/>
        <w:kinsoku/>
        <w:wordWrap/>
        <w:overflowPunct/>
        <w:topLinePunct w:val="0"/>
        <w:autoSpaceDE/>
        <w:autoSpaceDN/>
        <w:bidi w:val="0"/>
        <w:adjustRightInd/>
        <w:snapToGrid/>
        <w:spacing w:line="580" w:lineRule="exact"/>
        <w:ind w:left="0" w:leftChars="0" w:right="629" w:rightChars="0" w:firstLine="0" w:firstLineChars="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adjustRightInd/>
        <w:snapToGrid/>
        <w:spacing w:line="580" w:lineRule="exact"/>
        <w:ind w:left="4469" w:leftChars="2128"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2022年8月1日</w:t>
      </w: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1"/>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C7469"/>
    <w:multiLevelType w:val="singleLevel"/>
    <w:tmpl w:val="617C7469"/>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22C47A7"/>
    <w:rsid w:val="043A1A7E"/>
    <w:rsid w:val="09077E78"/>
    <w:rsid w:val="0A13354D"/>
    <w:rsid w:val="0B187C8B"/>
    <w:rsid w:val="0EE7640C"/>
    <w:rsid w:val="10C65629"/>
    <w:rsid w:val="13E8376E"/>
    <w:rsid w:val="1DF77A3F"/>
    <w:rsid w:val="1E9E08B2"/>
    <w:rsid w:val="25776CA5"/>
    <w:rsid w:val="28E40D21"/>
    <w:rsid w:val="2D090BF7"/>
    <w:rsid w:val="30646C80"/>
    <w:rsid w:val="39A5267F"/>
    <w:rsid w:val="3BEE10C4"/>
    <w:rsid w:val="3E847D70"/>
    <w:rsid w:val="45986459"/>
    <w:rsid w:val="461116BA"/>
    <w:rsid w:val="49710C22"/>
    <w:rsid w:val="50A1686B"/>
    <w:rsid w:val="513B5092"/>
    <w:rsid w:val="526B2160"/>
    <w:rsid w:val="581466B3"/>
    <w:rsid w:val="5CDE636C"/>
    <w:rsid w:val="628A224B"/>
    <w:rsid w:val="66FE612D"/>
    <w:rsid w:val="68360B26"/>
    <w:rsid w:val="6AFB3231"/>
    <w:rsid w:val="6B504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qFormat="1" w:unhideWhenUsed="0" w:uiPriority="0" w:semiHidden="0"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tabs>
        <w:tab w:val="left" w:pos="0"/>
        <w:tab w:val="left" w:pos="360"/>
        <w:tab w:val="left" w:pos="540"/>
        <w:tab w:val="left" w:pos="567"/>
      </w:tabs>
      <w:spacing w:line="312" w:lineRule="auto"/>
      <w:ind w:firstLine="567"/>
    </w:pPr>
    <w:rPr>
      <w:rFonts w:ascii="宋体" w:hAnsi="Times New Roman" w:eastAsia="宋体" w:cs="Times New Roman"/>
      <w:sz w:val="28"/>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280" w:after="280" w:line="240" w:lineRule="auto"/>
      <w:ind w:firstLine="0"/>
    </w:pPr>
    <w:rPr>
      <w:rFonts w:ascii="Times New Roman" w:hAnsi="Times New Roman" w:eastAsia="宋体" w:cs="Times New Roman"/>
      <w:sz w:val="21"/>
    </w:rPr>
  </w:style>
  <w:style w:type="paragraph" w:styleId="7">
    <w:name w:val="toc 2"/>
    <w:basedOn w:val="1"/>
    <w:next w:val="8"/>
    <w:qFormat/>
    <w:uiPriority w:val="0"/>
    <w:pPr>
      <w:ind w:left="210"/>
      <w:jc w:val="left"/>
    </w:pPr>
    <w:rPr>
      <w:rFonts w:ascii="Calibri" w:hAnsi="Calibri" w:eastAsia="宋体" w:cs="Calibri"/>
      <w:smallCaps/>
      <w:sz w:val="20"/>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unhideWhenUsed/>
    <w:qFormat/>
    <w:uiPriority w:val="0"/>
    <w:pPr>
      <w:jc w:val="center"/>
    </w:pPr>
    <w:rPr>
      <w:sz w:val="24"/>
      <w:szCs w:val="28"/>
    </w:rPr>
  </w:style>
  <w:style w:type="paragraph" w:styleId="14">
    <w:name w:val="List Bullet 2"/>
    <w:basedOn w:val="1"/>
    <w:next w:val="15"/>
    <w:semiHidden/>
    <w:unhideWhenUsed/>
    <w:qFormat/>
    <w:uiPriority w:val="99"/>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8">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19">
    <w:name w:val="annotation text"/>
    <w:basedOn w:val="1"/>
    <w:qFormat/>
    <w:uiPriority w:val="0"/>
    <w:pPr>
      <w:jc w:val="left"/>
    </w:pPr>
  </w:style>
  <w:style w:type="paragraph" w:styleId="20">
    <w:name w:val="Body Text"/>
    <w:basedOn w:val="1"/>
    <w:qFormat/>
    <w:uiPriority w:val="0"/>
    <w:pPr>
      <w:spacing w:line="0" w:lineRule="atLeast"/>
    </w:pPr>
    <w:rPr>
      <w:rFonts w:eastAsia="小标宋"/>
      <w:sz w:val="44"/>
    </w:rPr>
  </w:style>
  <w:style w:type="paragraph" w:styleId="21">
    <w:name w:val="footer"/>
    <w:basedOn w:val="1"/>
    <w:semiHidden/>
    <w:unhideWhenUsed/>
    <w:qFormat/>
    <w:uiPriority w:val="99"/>
    <w:pPr>
      <w:tabs>
        <w:tab w:val="center" w:pos="4153"/>
        <w:tab w:val="right" w:pos="8306"/>
      </w:tabs>
      <w:snapToGrid w:val="0"/>
      <w:jc w:val="left"/>
    </w:pPr>
    <w:rPr>
      <w:sz w:val="18"/>
    </w:rPr>
  </w:style>
  <w:style w:type="paragraph" w:styleId="2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3">
    <w:name w:val="Body Text First Indent"/>
    <w:basedOn w:val="20"/>
    <w:next w:val="1"/>
    <w:qFormat/>
    <w:uiPriority w:val="0"/>
    <w:pPr>
      <w:spacing w:after="120" w:line="240" w:lineRule="auto"/>
      <w:ind w:firstLine="420" w:firstLineChars="100"/>
    </w:pPr>
    <w:rPr>
      <w:rFonts w:eastAsia="仿宋_GB2312"/>
      <w:sz w:val="32"/>
    </w:rPr>
  </w:style>
  <w:style w:type="paragraph" w:styleId="24">
    <w:name w:val="Body Text First Indent 2"/>
    <w:basedOn w:val="10"/>
    <w:qFormat/>
    <w:uiPriority w:val="0"/>
    <w:pPr>
      <w:ind w:firstLine="420" w:firstLineChars="200"/>
    </w:pPr>
  </w:style>
  <w:style w:type="table" w:styleId="26">
    <w:name w:val="Table Grid"/>
    <w:basedOn w:val="2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8">
    <w:name w:val="纯文本1"/>
    <w:basedOn w:val="1"/>
    <w:qFormat/>
    <w:uiPriority w:val="0"/>
    <w:pPr>
      <w:adjustRightInd w:val="0"/>
    </w:pPr>
    <w:rPr>
      <w:rFonts w:ascii="宋体" w:hAnsi="Courier New"/>
      <w:szCs w:val="20"/>
    </w:rPr>
  </w:style>
  <w:style w:type="paragraph" w:customStyle="1" w:styleId="29">
    <w:name w:val="样式26"/>
    <w:basedOn w:val="30"/>
    <w:qFormat/>
    <w:uiPriority w:val="0"/>
    <w:pPr>
      <w:tabs>
        <w:tab w:val="left" w:pos="0"/>
        <w:tab w:val="left" w:pos="360"/>
        <w:tab w:val="left" w:pos="540"/>
        <w:tab w:val="left" w:pos="567"/>
      </w:tabs>
    </w:pPr>
  </w:style>
  <w:style w:type="paragraph" w:customStyle="1" w:styleId="30">
    <w:name w:val="样式21"/>
    <w:basedOn w:val="31"/>
    <w:qFormat/>
    <w:uiPriority w:val="0"/>
    <w:pPr>
      <w:tabs>
        <w:tab w:val="left" w:pos="360"/>
        <w:tab w:val="left" w:pos="567"/>
      </w:tabs>
      <w:spacing w:before="120" w:beforeLines="0" w:after="120" w:afterLines="0"/>
      <w:ind w:hanging="992"/>
    </w:pPr>
    <w:rPr>
      <w:kern w:val="0"/>
    </w:rPr>
  </w:style>
  <w:style w:type="paragraph" w:customStyle="1" w:styleId="31">
    <w:name w:val="样式5"/>
    <w:basedOn w:val="32"/>
    <w:qFormat/>
    <w:uiPriority w:val="0"/>
    <w:pPr>
      <w:tabs>
        <w:tab w:val="left" w:pos="360"/>
        <w:tab w:val="left" w:pos="567"/>
      </w:tabs>
      <w:ind w:hanging="567" w:firstLineChars="0"/>
    </w:pPr>
    <w:rPr>
      <w:rFonts w:cs="Times New Roman"/>
    </w:rPr>
  </w:style>
  <w:style w:type="paragraph" w:customStyle="1" w:styleId="3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33">
    <w:name w:val="样式 方正小标宋简体 小二 居中 行距: 固定值 22 磅"/>
    <w:basedOn w:val="1"/>
    <w:qFormat/>
    <w:uiPriority w:val="0"/>
    <w:pPr>
      <w:jc w:val="center"/>
    </w:pPr>
    <w:rPr>
      <w:rFonts w:ascii="方正小标宋简体" w:eastAsia="方正小标宋简体" w:cs="宋体"/>
      <w:sz w:val="36"/>
      <w:szCs w:val="20"/>
    </w:rPr>
  </w:style>
  <w:style w:type="paragraph" w:customStyle="1" w:styleId="34">
    <w:name w:val="报告表正文"/>
    <w:basedOn w:val="1"/>
    <w:qFormat/>
    <w:uiPriority w:val="0"/>
    <w:pPr>
      <w:widowControl/>
      <w:spacing w:line="360" w:lineRule="auto"/>
      <w:ind w:firstLine="200" w:firstLineChars="200"/>
    </w:pPr>
    <w:rPr>
      <w:color w:val="FF00FF"/>
      <w:sz w:val="24"/>
      <w:szCs w:val="24"/>
    </w:rPr>
  </w:style>
  <w:style w:type="paragraph" w:customStyle="1" w:styleId="35">
    <w:name w:val="zxx表格"/>
    <w:basedOn w:val="1"/>
    <w:qFormat/>
    <w:uiPriority w:val="0"/>
    <w:pPr>
      <w:spacing w:line="240" w:lineRule="auto"/>
      <w:jc w:val="center"/>
    </w:pPr>
    <w:rPr>
      <w:rFonts w:ascii="Times New Roman" w:hAnsi="Times New Roman"/>
    </w:rPr>
  </w:style>
  <w:style w:type="paragraph" w:customStyle="1" w:styleId="36">
    <w:name w:val="表内"/>
    <w:qFormat/>
    <w:uiPriority w:val="0"/>
    <w:pPr>
      <w:adjustRightInd w:val="0"/>
      <w:snapToGrid w:val="0"/>
      <w:ind w:left="-105" w:leftChars="-50" w:rightChars="-50"/>
      <w:jc w:val="center"/>
    </w:pPr>
    <w:rPr>
      <w:rFonts w:ascii="Times New Roman" w:hAnsi="Times New Roman" w:eastAsia="宋体" w:cs="Times New Roman"/>
      <w:sz w:val="21"/>
      <w:lang w:val="en-US" w:eastAsia="zh-CN" w:bidi="ar-SA"/>
    </w:rPr>
  </w:style>
  <w:style w:type="paragraph" w:styleId="37">
    <w:name w:val="No Spacing"/>
    <w:qFormat/>
    <w:uiPriority w:val="0"/>
    <w:pPr>
      <w:adjustRightInd w:val="0"/>
      <w:snapToGrid w:val="0"/>
    </w:pPr>
    <w:rPr>
      <w:rFonts w:ascii="Tahoma" w:hAnsi="Tahoma" w:eastAsia="微软雅黑" w:cs="Times New Roman"/>
      <w:sz w:val="22"/>
      <w:szCs w:val="22"/>
      <w:lang w:val="en-US" w:eastAsia="zh-CN" w:bidi="ar-SA"/>
    </w:rPr>
  </w:style>
  <w:style w:type="paragraph" w:customStyle="1" w:styleId="38">
    <w:name w:val="表格文字"/>
    <w:basedOn w:val="23"/>
    <w:next w:val="1"/>
    <w:qFormat/>
    <w:uiPriority w:val="0"/>
    <w:pPr>
      <w:spacing w:after="0" w:line="320" w:lineRule="exact"/>
      <w:jc w:val="center"/>
    </w:pPr>
    <w:rPr>
      <w:rFonts w:ascii="宋体"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1920</Words>
  <Characters>2124</Characters>
  <Lines>4</Lines>
  <Paragraphs>1</Paragraphs>
  <TotalTime>0</TotalTime>
  <ScaleCrop>false</ScaleCrop>
  <LinksUpToDate>false</LinksUpToDate>
  <CharactersWithSpaces>2151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2022-07-21T08:08:00Z</cp:lastPrinted>
  <dcterms:modified xsi:type="dcterms:W3CDTF">2022-08-26T08:31:16Z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B9C98529D76248FDB7C85742E71A0680</vt:lpwstr>
  </property>
</Properties>
</file>