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9</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关于</w:t>
      </w:r>
      <w:r>
        <w:rPr>
          <w:rFonts w:hint="eastAsia" w:ascii="方正小标宋简体" w:hAnsi="方正小标宋简体" w:eastAsia="方正小标宋简体" w:cs="方正小标宋简体"/>
          <w:w w:val="95"/>
          <w:sz w:val="44"/>
          <w:szCs w:val="44"/>
          <w:lang w:eastAsia="zh-CN"/>
        </w:rPr>
        <w:t>中纺粮油（湛江）工业有限公司危险废物暂存间项目</w:t>
      </w:r>
      <w:r>
        <w:rPr>
          <w:rFonts w:hint="eastAsia" w:ascii="方正小标宋简体" w:hAnsi="方正小标宋简体" w:eastAsia="方正小标宋简体" w:cs="方正小标宋简体"/>
          <w:w w:val="95"/>
          <w:sz w:val="44"/>
          <w:szCs w:val="44"/>
        </w:rPr>
        <w:t>环境影响报告表的批复</w:t>
      </w:r>
    </w:p>
    <w:p>
      <w:pPr>
        <w:rPr>
          <w:rFonts w:hint="eastAsia" w:ascii="仿宋_GB2312" w:eastAsia="仿宋_GB2312"/>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中纺粮油（湛江）工业有限公司：</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你单位报批的《</w:t>
      </w:r>
      <w:r>
        <w:rPr>
          <w:rFonts w:hint="eastAsia" w:ascii="仿宋_GB2312" w:hAnsi="仿宋_GB2312" w:eastAsia="仿宋_GB2312" w:cs="仿宋_GB2312"/>
          <w:sz w:val="32"/>
          <w:szCs w:val="32"/>
          <w:lang w:eastAsia="zh-CN"/>
        </w:rPr>
        <w:t>中纺粮油（湛江）工业有限公司危险废物暂存间项目</w:t>
      </w:r>
      <w:r>
        <w:rPr>
          <w:rFonts w:hint="eastAsia" w:ascii="仿宋_GB2312" w:hAnsi="仿宋_GB2312" w:eastAsia="仿宋_GB2312" w:cs="仿宋_GB2312"/>
          <w:sz w:val="32"/>
          <w:szCs w:val="32"/>
        </w:rPr>
        <w:t>环境影响报告表》（以下简称“</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”）等材料收悉。经研究，批复如下：</w:t>
      </w:r>
    </w:p>
    <w:p>
      <w:pPr>
        <w:pStyle w:val="34"/>
        <w:keepNext w:val="0"/>
        <w:keepLines w:val="0"/>
        <w:pageBreakBefore w:val="0"/>
        <w:kinsoku/>
        <w:wordWrap/>
        <w:overflowPunct/>
        <w:topLinePunct w:val="0"/>
        <w:autoSpaceDE/>
        <w:autoSpaceDN/>
        <w:bidi w:val="0"/>
        <w:adjustRightInd/>
        <w:snapToGrid/>
        <w:spacing w:line="600" w:lineRule="exact"/>
        <w:ind w:firstLine="48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kern w:val="2"/>
          <w:sz w:val="32"/>
          <w:szCs w:val="32"/>
          <w:lang w:val="en-US" w:eastAsia="zh-CN" w:bidi="ar-SA"/>
        </w:rPr>
        <w:t>中纺粮油（湛江）工业有限公司位于湛江市霞山区湖光路5号</w:t>
      </w:r>
      <w:r>
        <w:rPr>
          <w:rFonts w:hint="default"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中纺粮油（湛江）工业有限公司危险废物暂存间项目（以下简称“项目”）位于厂区内，项目总占地面积为53</w:t>
      </w:r>
      <w:r>
        <w:rPr>
          <w:rFonts w:hint="default" w:ascii="仿宋_GB2312" w:hAnsi="仿宋_GB2312" w:eastAsia="仿宋_GB2312" w:cs="仿宋_GB2312"/>
          <w:color w:val="auto"/>
          <w:kern w:val="2"/>
          <w:sz w:val="32"/>
          <w:szCs w:val="32"/>
          <w:lang w:val="en-US" w:eastAsia="zh-CN" w:bidi="ar-SA"/>
        </w:rPr>
        <w:t>m</w:t>
      </w:r>
      <w:r>
        <w:rPr>
          <w:rFonts w:hint="default" w:ascii="仿宋_GB2312" w:hAnsi="仿宋_GB2312" w:eastAsia="仿宋_GB2312" w:cs="仿宋_GB2312"/>
          <w:color w:val="auto"/>
          <w:kern w:val="2"/>
          <w:sz w:val="32"/>
          <w:szCs w:val="32"/>
          <w:vertAlign w:val="superscript"/>
          <w:lang w:val="en-US" w:eastAsia="zh-CN" w:bidi="ar-SA"/>
        </w:rPr>
        <w:t>2</w:t>
      </w:r>
      <w:r>
        <w:rPr>
          <w:rFonts w:hint="default" w:ascii="仿宋_GB2312" w:hAnsi="仿宋_GB2312" w:eastAsia="仿宋_GB2312" w:cs="仿宋_GB2312"/>
          <w:color w:val="auto"/>
          <w:kern w:val="2"/>
          <w:sz w:val="32"/>
          <w:szCs w:val="32"/>
          <w:lang w:val="en-US" w:eastAsia="zh-CN" w:bidi="ar-SA"/>
        </w:rPr>
        <w:t>，主要</w:t>
      </w:r>
      <w:r>
        <w:rPr>
          <w:rFonts w:hint="eastAsia" w:ascii="仿宋_GB2312" w:hAnsi="仿宋_GB2312" w:eastAsia="仿宋_GB2312" w:cs="仿宋_GB2312"/>
          <w:color w:val="auto"/>
          <w:kern w:val="2"/>
          <w:sz w:val="32"/>
          <w:szCs w:val="32"/>
          <w:lang w:val="en-US" w:eastAsia="zh-CN" w:bidi="ar-SA"/>
        </w:rPr>
        <w:t>暂存</w:t>
      </w:r>
      <w:r>
        <w:rPr>
          <w:rFonts w:hint="default" w:ascii="仿宋_GB2312" w:hAnsi="仿宋_GB2312" w:eastAsia="仿宋_GB2312" w:cs="仿宋_GB2312"/>
          <w:color w:val="auto"/>
          <w:kern w:val="2"/>
          <w:sz w:val="32"/>
          <w:szCs w:val="32"/>
          <w:lang w:val="en-US" w:eastAsia="zh-CN" w:bidi="ar-SA"/>
        </w:rPr>
        <w:t>废矿物油（HW08）、实验室废物（HW49）、实验室空瓶（HW49）、废机油抹布（HW49）、废</w:t>
      </w:r>
      <w:r>
        <w:rPr>
          <w:rFonts w:hint="eastAsia" w:ascii="仿宋_GB2312" w:hAnsi="仿宋_GB2312" w:eastAsia="仿宋_GB2312" w:cs="仿宋_GB2312"/>
          <w:color w:val="auto"/>
          <w:kern w:val="2"/>
          <w:sz w:val="32"/>
          <w:szCs w:val="32"/>
          <w:lang w:val="en-US" w:eastAsia="zh-CN" w:bidi="ar-SA"/>
        </w:rPr>
        <w:t>油漆桶</w:t>
      </w:r>
      <w:r>
        <w:rPr>
          <w:rFonts w:hint="default" w:ascii="仿宋_GB2312" w:hAnsi="仿宋_GB2312" w:eastAsia="仿宋_GB2312" w:cs="仿宋_GB2312"/>
          <w:color w:val="auto"/>
          <w:kern w:val="2"/>
          <w:sz w:val="32"/>
          <w:szCs w:val="32"/>
          <w:lang w:val="en-US" w:eastAsia="zh-CN" w:bidi="ar-SA"/>
        </w:rPr>
        <w:t>（HW49）</w:t>
      </w:r>
      <w:r>
        <w:rPr>
          <w:rFonts w:hint="eastAsia" w:ascii="仿宋_GB2312" w:hAnsi="仿宋_GB2312" w:eastAsia="仿宋_GB2312" w:cs="仿宋_GB2312"/>
          <w:color w:val="auto"/>
          <w:kern w:val="2"/>
          <w:sz w:val="32"/>
          <w:szCs w:val="32"/>
          <w:lang w:val="en-US" w:eastAsia="zh-CN" w:bidi="ar-SA"/>
        </w:rPr>
        <w:t>和废油桶（HW08，盛装矿物油的空桶）</w:t>
      </w:r>
      <w:r>
        <w:rPr>
          <w:rFonts w:hint="default" w:ascii="仿宋_GB2312" w:hAnsi="仿宋_GB2312" w:eastAsia="仿宋_GB2312" w:cs="仿宋_GB2312"/>
          <w:color w:val="auto"/>
          <w:kern w:val="2"/>
          <w:sz w:val="32"/>
          <w:szCs w:val="32"/>
          <w:lang w:val="en-US" w:eastAsia="zh-CN" w:bidi="ar-SA"/>
        </w:rPr>
        <w:t>，最大储存量8.5吨；项目危险废物</w:t>
      </w:r>
      <w:r>
        <w:rPr>
          <w:rFonts w:hint="eastAsia" w:ascii="仿宋_GB2312" w:hAnsi="仿宋_GB2312" w:eastAsia="仿宋_GB2312" w:cs="仿宋_GB2312"/>
          <w:color w:val="auto"/>
          <w:kern w:val="2"/>
          <w:sz w:val="32"/>
          <w:szCs w:val="32"/>
          <w:lang w:val="en-US" w:eastAsia="zh-CN" w:bidi="ar-SA"/>
        </w:rPr>
        <w:t>暂</w:t>
      </w:r>
      <w:r>
        <w:rPr>
          <w:rFonts w:hint="default" w:ascii="仿宋_GB2312" w:hAnsi="仿宋_GB2312" w:eastAsia="仿宋_GB2312" w:cs="仿宋_GB2312"/>
          <w:color w:val="auto"/>
          <w:kern w:val="2"/>
          <w:sz w:val="32"/>
          <w:szCs w:val="32"/>
          <w:lang w:val="en-US" w:eastAsia="zh-CN" w:bidi="ar-SA"/>
        </w:rPr>
        <w:t>存情况详见表1</w:t>
      </w:r>
      <w:r>
        <w:rPr>
          <w:rFonts w:hint="eastAsia" w:ascii="仿宋_GB2312" w:hAnsi="仿宋_GB2312" w:eastAsia="仿宋_GB2312" w:cs="仿宋_GB2312"/>
          <w:color w:val="auto"/>
          <w:kern w:val="2"/>
          <w:sz w:val="32"/>
          <w:szCs w:val="32"/>
          <w:lang w:val="en-US" w:eastAsia="zh-CN" w:bidi="ar-SA"/>
        </w:rPr>
        <w:t>，工程内容见表2</w:t>
      </w:r>
      <w:r>
        <w:rPr>
          <w:rFonts w:hint="default" w:ascii="仿宋_GB2312" w:hAnsi="仿宋_GB2312" w:eastAsia="仿宋_GB2312" w:cs="仿宋_GB2312"/>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Times New Roman" w:hAnsi="Times New Roman" w:eastAsia="仿宋_GB2312" w:cs="Times New Roman"/>
          <w:b/>
          <w:color w:val="000000"/>
          <w:sz w:val="32"/>
          <w:szCs w:val="32"/>
        </w:rPr>
      </w:pPr>
      <w:r>
        <w:rPr>
          <w:rFonts w:hint="default" w:ascii="Times New Roman" w:hAnsi="Times New Roman" w:eastAsia="仿宋_GB2312" w:cs="Times New Roman"/>
          <w:b w:val="0"/>
          <w:bCs/>
          <w:color w:val="000000"/>
          <w:sz w:val="32"/>
          <w:szCs w:val="32"/>
          <w:lang w:eastAsia="zh-CN"/>
        </w:rPr>
        <w:t>表</w:t>
      </w:r>
      <w:r>
        <w:rPr>
          <w:rFonts w:hint="default" w:ascii="Times New Roman" w:hAnsi="Times New Roman" w:eastAsia="仿宋_GB2312" w:cs="Times New Roman"/>
          <w:b w:val="0"/>
          <w:bCs/>
          <w:color w:val="000000"/>
          <w:sz w:val="32"/>
          <w:szCs w:val="32"/>
          <w:lang w:val="en-US" w:eastAsia="zh-CN"/>
        </w:rPr>
        <w:t xml:space="preserve">1 </w:t>
      </w:r>
      <w:r>
        <w:rPr>
          <w:rFonts w:hint="default" w:ascii="Times New Roman" w:hAnsi="Times New Roman" w:eastAsia="仿宋_GB2312" w:cs="Times New Roman"/>
          <w:b w:val="0"/>
          <w:bCs/>
          <w:color w:val="000000"/>
          <w:sz w:val="32"/>
          <w:szCs w:val="32"/>
        </w:rPr>
        <w:t>项目危险废物</w:t>
      </w:r>
      <w:r>
        <w:rPr>
          <w:rFonts w:hint="eastAsia" w:ascii="Times New Roman" w:hAnsi="Times New Roman" w:cs="Times New Roman"/>
          <w:b w:val="0"/>
          <w:bCs/>
          <w:color w:val="000000"/>
          <w:sz w:val="32"/>
          <w:szCs w:val="32"/>
          <w:lang w:eastAsia="zh-CN"/>
        </w:rPr>
        <w:t>暂</w:t>
      </w:r>
      <w:r>
        <w:rPr>
          <w:rFonts w:hint="default" w:ascii="Times New Roman" w:hAnsi="Times New Roman" w:eastAsia="仿宋_GB2312" w:cs="Times New Roman"/>
          <w:b w:val="0"/>
          <w:bCs/>
          <w:color w:val="000000"/>
          <w:sz w:val="32"/>
          <w:szCs w:val="32"/>
        </w:rPr>
        <w:t>存情况表</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559"/>
        <w:gridCol w:w="860"/>
        <w:gridCol w:w="1013"/>
        <w:gridCol w:w="1013"/>
        <w:gridCol w:w="1221"/>
        <w:gridCol w:w="1260"/>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序号</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名称</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物态</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产生量（t）</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最大储存量（t/</w:t>
            </w:r>
            <w:r>
              <w:rPr>
                <w:rFonts w:hint="default" w:ascii="Times New Roman" w:hAnsi="Times New Roman" w:eastAsia="仿宋_GB2312" w:cs="Times New Roman"/>
                <w:b/>
                <w:bCs w:val="0"/>
                <w:color w:val="000000"/>
                <w:kern w:val="2"/>
                <w:sz w:val="24"/>
                <w:szCs w:val="24"/>
                <w:lang w:val="en-US" w:eastAsia="zh-CN" w:bidi="ar-SA"/>
              </w:rPr>
              <w:t>a</w:t>
            </w:r>
            <w:r>
              <w:rPr>
                <w:rFonts w:hint="eastAsia" w:ascii="Times New Roman" w:hAnsi="Times New Roman" w:eastAsia="仿宋_GB2312" w:cs="Times New Roman"/>
                <w:b/>
                <w:bCs w:val="0"/>
                <w:color w:val="000000"/>
                <w:kern w:val="2"/>
                <w:sz w:val="24"/>
                <w:szCs w:val="24"/>
                <w:lang w:val="en-US" w:eastAsia="zh-CN" w:bidi="ar-SA"/>
              </w:rPr>
              <w:t>）</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最大储存周期</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危废种类</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bCs w:val="0"/>
                <w:color w:val="000000"/>
                <w:kern w:val="2"/>
                <w:sz w:val="24"/>
                <w:szCs w:val="24"/>
                <w:lang w:val="en-US" w:eastAsia="zh-CN" w:bidi="ar-SA"/>
              </w:rPr>
            </w:pPr>
            <w:r>
              <w:rPr>
                <w:rFonts w:hint="eastAsia" w:ascii="Times New Roman" w:hAnsi="Times New Roman" w:eastAsia="仿宋_GB2312" w:cs="Times New Roman"/>
                <w:b/>
                <w:bCs w:val="0"/>
                <w:color w:val="000000"/>
                <w:kern w:val="2"/>
                <w:sz w:val="24"/>
                <w:szCs w:val="24"/>
                <w:lang w:val="en-US" w:eastAsia="zh-CN" w:bidi="ar-SA"/>
              </w:rPr>
              <w:t>危险特性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1</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废矿物油</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液态</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3</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1.5</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6</w:t>
            </w:r>
            <w:r>
              <w:rPr>
                <w:rFonts w:hint="eastAsia" w:ascii="Times New Roman" w:hAnsi="Times New Roman" w:eastAsia="仿宋_GB2312" w:cs="Times New Roman"/>
                <w:b w:val="0"/>
                <w:bCs/>
                <w:color w:val="000000"/>
                <w:kern w:val="2"/>
                <w:sz w:val="24"/>
                <w:szCs w:val="24"/>
                <w:lang w:val="en-US" w:eastAsia="zh-CN" w:bidi="ar-SA"/>
              </w:rPr>
              <w:t>个月</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HW</w:t>
            </w:r>
            <w:r>
              <w:rPr>
                <w:rFonts w:hint="default" w:ascii="Times New Roman" w:hAnsi="Times New Roman" w:eastAsia="仿宋_GB2312" w:cs="Times New Roman"/>
                <w:b w:val="0"/>
                <w:bCs/>
                <w:color w:val="000000"/>
                <w:kern w:val="2"/>
                <w:sz w:val="24"/>
                <w:szCs w:val="24"/>
                <w:lang w:val="en-US" w:eastAsia="zh-CN" w:bidi="ar-SA"/>
              </w:rPr>
              <w:t>08</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2</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实验室废物</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液态</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1.5</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0.75</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6</w:t>
            </w:r>
            <w:r>
              <w:rPr>
                <w:rFonts w:hint="eastAsia" w:ascii="Times New Roman" w:hAnsi="Times New Roman" w:eastAsia="仿宋_GB2312" w:cs="Times New Roman"/>
                <w:b w:val="0"/>
                <w:bCs/>
                <w:color w:val="000000"/>
                <w:kern w:val="2"/>
                <w:sz w:val="24"/>
                <w:szCs w:val="24"/>
                <w:lang w:val="en-US" w:eastAsia="zh-CN" w:bidi="ar-SA"/>
              </w:rPr>
              <w:t>个月</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HW</w:t>
            </w:r>
            <w:r>
              <w:rPr>
                <w:rFonts w:hint="default" w:ascii="Times New Roman" w:hAnsi="Times New Roman" w:eastAsia="仿宋_GB2312" w:cs="Times New Roman"/>
                <w:b w:val="0"/>
                <w:bCs/>
                <w:color w:val="000000"/>
                <w:kern w:val="2"/>
                <w:sz w:val="24"/>
                <w:szCs w:val="24"/>
                <w:lang w:val="en-US" w:eastAsia="zh-CN" w:bidi="ar-SA"/>
              </w:rPr>
              <w:t>49</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T/C/I/R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3</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实验室空瓶</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固态</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1</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0.5</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6</w:t>
            </w:r>
            <w:r>
              <w:rPr>
                <w:rFonts w:hint="eastAsia" w:ascii="Times New Roman" w:hAnsi="Times New Roman" w:eastAsia="仿宋_GB2312" w:cs="Times New Roman"/>
                <w:b w:val="0"/>
                <w:bCs/>
                <w:color w:val="000000"/>
                <w:kern w:val="2"/>
                <w:sz w:val="24"/>
                <w:szCs w:val="24"/>
                <w:lang w:val="en-US" w:eastAsia="zh-CN" w:bidi="ar-SA"/>
              </w:rPr>
              <w:t>个月</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HW</w:t>
            </w:r>
            <w:r>
              <w:rPr>
                <w:rFonts w:hint="default" w:ascii="Times New Roman" w:hAnsi="Times New Roman" w:eastAsia="仿宋_GB2312" w:cs="Times New Roman"/>
                <w:b w:val="0"/>
                <w:bCs/>
                <w:color w:val="000000"/>
                <w:kern w:val="2"/>
                <w:sz w:val="24"/>
                <w:szCs w:val="24"/>
                <w:lang w:val="en-US" w:eastAsia="zh-CN" w:bidi="ar-SA"/>
              </w:rPr>
              <w:t>49</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T/In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4</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废含油抹布等</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固态</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0.5</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0.25</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6</w:t>
            </w:r>
            <w:r>
              <w:rPr>
                <w:rFonts w:hint="eastAsia" w:ascii="Times New Roman" w:hAnsi="Times New Roman" w:eastAsia="仿宋_GB2312" w:cs="Times New Roman"/>
                <w:b w:val="0"/>
                <w:bCs/>
                <w:color w:val="000000"/>
                <w:kern w:val="2"/>
                <w:sz w:val="24"/>
                <w:szCs w:val="24"/>
                <w:lang w:val="en-US" w:eastAsia="zh-CN" w:bidi="ar-SA"/>
              </w:rPr>
              <w:t>个月</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HW</w:t>
            </w:r>
            <w:r>
              <w:rPr>
                <w:rFonts w:hint="default" w:ascii="Times New Roman" w:hAnsi="Times New Roman" w:eastAsia="仿宋_GB2312" w:cs="Times New Roman"/>
                <w:b w:val="0"/>
                <w:bCs/>
                <w:color w:val="000000"/>
                <w:kern w:val="2"/>
                <w:sz w:val="24"/>
                <w:szCs w:val="24"/>
                <w:lang w:val="en-US" w:eastAsia="zh-CN" w:bidi="ar-SA"/>
              </w:rPr>
              <w:t>49</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T/In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5</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废油漆桶</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固态</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0.5</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0.25</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6</w:t>
            </w:r>
            <w:r>
              <w:rPr>
                <w:rFonts w:hint="eastAsia" w:ascii="Times New Roman" w:hAnsi="Times New Roman" w:eastAsia="仿宋_GB2312" w:cs="Times New Roman"/>
                <w:b w:val="0"/>
                <w:bCs/>
                <w:color w:val="000000"/>
                <w:kern w:val="2"/>
                <w:sz w:val="24"/>
                <w:szCs w:val="24"/>
                <w:lang w:val="en-US" w:eastAsia="zh-CN" w:bidi="ar-SA"/>
              </w:rPr>
              <w:t>个月</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HW</w:t>
            </w:r>
            <w:r>
              <w:rPr>
                <w:rFonts w:hint="default" w:ascii="Times New Roman" w:hAnsi="Times New Roman" w:eastAsia="仿宋_GB2312" w:cs="Times New Roman"/>
                <w:b w:val="0"/>
                <w:bCs/>
                <w:color w:val="000000"/>
                <w:kern w:val="2"/>
                <w:sz w:val="24"/>
                <w:szCs w:val="24"/>
                <w:lang w:val="en-US" w:eastAsia="zh-CN" w:bidi="ar-SA"/>
              </w:rPr>
              <w:t>49</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T/In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6</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废油桶（盛装矿物油的空桶）</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固态</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2</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1</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6个月</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HW</w:t>
            </w:r>
            <w:r>
              <w:rPr>
                <w:rFonts w:hint="default" w:ascii="Times New Roman" w:hAnsi="Times New Roman" w:eastAsia="仿宋_GB2312" w:cs="Times New Roman"/>
                <w:b w:val="0"/>
                <w:bCs/>
                <w:color w:val="000000"/>
                <w:kern w:val="2"/>
                <w:sz w:val="24"/>
                <w:szCs w:val="24"/>
                <w:lang w:val="en-US" w:eastAsia="zh-CN" w:bidi="ar-SA"/>
              </w:rPr>
              <w:t>08</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62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合计</w:t>
            </w:r>
          </w:p>
        </w:tc>
        <w:tc>
          <w:tcPr>
            <w:tcW w:w="155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w:t>
            </w:r>
          </w:p>
        </w:tc>
        <w:tc>
          <w:tcPr>
            <w:tcW w:w="8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8.5</w:t>
            </w:r>
          </w:p>
        </w:tc>
        <w:tc>
          <w:tcPr>
            <w:tcW w:w="1013"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default" w:ascii="Times New Roman" w:hAnsi="Times New Roman" w:eastAsia="仿宋_GB2312" w:cs="Times New Roman"/>
                <w:b w:val="0"/>
                <w:bCs/>
                <w:color w:val="000000"/>
                <w:kern w:val="2"/>
                <w:sz w:val="24"/>
                <w:szCs w:val="24"/>
                <w:lang w:val="en-US" w:eastAsia="zh-CN" w:bidi="ar-SA"/>
              </w:rPr>
              <w:t>4.25</w:t>
            </w:r>
          </w:p>
        </w:tc>
        <w:tc>
          <w:tcPr>
            <w:tcW w:w="122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w:t>
            </w:r>
          </w:p>
        </w:tc>
        <w:tc>
          <w:tcPr>
            <w:tcW w:w="126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w:t>
            </w:r>
          </w:p>
        </w:tc>
        <w:tc>
          <w:tcPr>
            <w:tcW w:w="150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beforeLines="0" w:line="360" w:lineRule="auto"/>
              <w:ind w:firstLine="0" w:firstLineChars="0"/>
              <w:jc w:val="center"/>
              <w:textAlignment w:val="auto"/>
              <w:rPr>
                <w:rFonts w:hint="default" w:ascii="Times New Roman" w:hAnsi="Times New Roman" w:eastAsia="仿宋_GB2312" w:cs="Times New Roman"/>
                <w:b w:val="0"/>
                <w:bCs/>
                <w:color w:val="000000"/>
                <w:kern w:val="2"/>
                <w:sz w:val="24"/>
                <w:szCs w:val="24"/>
                <w:lang w:val="en-US" w:eastAsia="zh-CN" w:bidi="ar-SA"/>
              </w:rPr>
            </w:pPr>
            <w:r>
              <w:rPr>
                <w:rFonts w:hint="eastAsia" w:ascii="Times New Roman" w:hAnsi="Times New Roman" w:eastAsia="仿宋_GB2312" w:cs="Times New Roman"/>
                <w:b w:val="0"/>
                <w:bCs/>
                <w:color w:val="000000"/>
                <w:kern w:val="2"/>
                <w:sz w:val="24"/>
                <w:szCs w:val="24"/>
                <w:lang w:val="en-US" w:eastAsia="zh-CN" w:bidi="ar-SA"/>
              </w:rPr>
              <w:t>——</w:t>
            </w:r>
          </w:p>
        </w:tc>
      </w:tr>
    </w:tbl>
    <w:p>
      <w:pPr>
        <w:pStyle w:val="20"/>
        <w:keepNext w:val="0"/>
        <w:keepLines w:val="0"/>
        <w:pageBreakBefore w:val="0"/>
        <w:widowControl w:val="0"/>
        <w:kinsoku/>
        <w:wordWrap/>
        <w:overflowPunct/>
        <w:topLinePunct w:val="0"/>
        <w:autoSpaceDE/>
        <w:autoSpaceDN/>
        <w:bidi w:val="0"/>
        <w:adjustRightInd/>
        <w:snapToGrid/>
        <w:spacing w:line="600" w:lineRule="exact"/>
        <w:ind w:firstLine="2560" w:firstLineChars="800"/>
        <w:jc w:val="both"/>
        <w:textAlignment w:val="auto"/>
        <w:rPr>
          <w:rFonts w:hint="default" w:ascii="Times New Roman" w:hAnsi="Times New Roman" w:eastAsia="仿宋_GB2312" w:cs="Times New Roman"/>
          <w:b/>
          <w:bCs/>
          <w:color w:val="000000"/>
          <w:kern w:val="2"/>
          <w:sz w:val="32"/>
          <w:szCs w:val="32"/>
          <w:lang w:val="en-US" w:eastAsia="zh-CN" w:bidi="ar-SA"/>
        </w:rPr>
      </w:pPr>
      <w:r>
        <w:rPr>
          <w:rFonts w:hint="default" w:ascii="Times New Roman" w:hAnsi="Times New Roman" w:eastAsia="仿宋_GB2312" w:cs="Times New Roman"/>
          <w:b w:val="0"/>
          <w:bCs w:val="0"/>
          <w:color w:val="000000"/>
          <w:sz w:val="32"/>
          <w:szCs w:val="32"/>
          <w:lang w:val="en-US" w:eastAsia="zh-CN"/>
        </w:rPr>
        <w:t>表</w:t>
      </w:r>
      <w:r>
        <w:rPr>
          <w:rFonts w:hint="eastAsia" w:ascii="Times New Roman" w:hAnsi="Times New Roman" w:eastAsia="仿宋_GB2312" w:cs="Times New Roman"/>
          <w:b w:val="0"/>
          <w:bCs w:val="0"/>
          <w:color w:val="000000"/>
          <w:sz w:val="32"/>
          <w:szCs w:val="32"/>
          <w:lang w:val="en-US" w:eastAsia="zh-CN"/>
        </w:rPr>
        <w:t>2</w:t>
      </w:r>
      <w:r>
        <w:rPr>
          <w:rFonts w:hint="default" w:ascii="Times New Roman" w:hAnsi="Times New Roman" w:eastAsia="仿宋_GB2312" w:cs="Times New Roman"/>
          <w:b w:val="0"/>
          <w:bCs w:val="0"/>
          <w:color w:val="000000"/>
          <w:sz w:val="32"/>
          <w:szCs w:val="32"/>
          <w:lang w:val="en-US" w:eastAsia="zh-CN"/>
        </w:rPr>
        <w:t xml:space="preserve"> </w:t>
      </w:r>
      <w:r>
        <w:rPr>
          <w:rFonts w:hint="default" w:ascii="Times New Roman" w:hAnsi="Times New Roman" w:eastAsia="仿宋_GB2312" w:cs="Times New Roman"/>
          <w:color w:val="000000"/>
          <w:kern w:val="2"/>
          <w:sz w:val="32"/>
          <w:szCs w:val="32"/>
          <w:lang w:val="en-US" w:eastAsia="zh-CN" w:bidi="ar-SA"/>
        </w:rPr>
        <w:t>项目</w:t>
      </w:r>
      <w:r>
        <w:rPr>
          <w:rFonts w:hint="eastAsia" w:ascii="Times New Roman" w:hAnsi="Times New Roman" w:eastAsia="仿宋_GB2312" w:cs="Times New Roman"/>
          <w:color w:val="000000"/>
          <w:kern w:val="2"/>
          <w:sz w:val="32"/>
          <w:szCs w:val="32"/>
          <w:lang w:val="en-US" w:eastAsia="zh-CN" w:bidi="ar-SA"/>
        </w:rPr>
        <w:t>工程内容</w:t>
      </w:r>
    </w:p>
    <w:tbl>
      <w:tblPr>
        <w:tblStyle w:val="2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577"/>
        <w:gridCol w:w="893"/>
        <w:gridCol w:w="4642"/>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43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bCs w:val="0"/>
                <w:color w:val="000000"/>
                <w:sz w:val="24"/>
                <w:szCs w:val="24"/>
              </w:rPr>
            </w:pPr>
            <w:r>
              <w:rPr>
                <w:rFonts w:hint="eastAsia" w:ascii="仿宋_GB2312" w:hAnsi="仿宋_GB2312" w:eastAsia="仿宋_GB2312" w:cs="仿宋_GB2312"/>
                <w:b/>
                <w:bCs w:val="0"/>
                <w:color w:val="000000"/>
                <w:sz w:val="24"/>
                <w:szCs w:val="24"/>
              </w:rPr>
              <w:t>项目类别</w:t>
            </w: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bCs w:val="0"/>
                <w:color w:val="000000"/>
                <w:sz w:val="24"/>
                <w:szCs w:val="24"/>
              </w:rPr>
            </w:pPr>
            <w:r>
              <w:rPr>
                <w:rFonts w:hint="eastAsia" w:ascii="仿宋_GB2312" w:hAnsi="仿宋_GB2312" w:eastAsia="仿宋_GB2312" w:cs="仿宋_GB2312"/>
                <w:b/>
                <w:bCs w:val="0"/>
                <w:color w:val="000000"/>
                <w:sz w:val="24"/>
                <w:szCs w:val="24"/>
              </w:rPr>
              <w:t>项目名称</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bCs w:val="0"/>
                <w:color w:val="000000"/>
                <w:sz w:val="24"/>
                <w:szCs w:val="24"/>
              </w:rPr>
            </w:pPr>
            <w:r>
              <w:rPr>
                <w:rFonts w:hint="eastAsia" w:ascii="仿宋_GB2312" w:hAnsi="仿宋_GB2312" w:eastAsia="仿宋_GB2312" w:cs="仿宋_GB2312"/>
                <w:b/>
                <w:bCs w:val="0"/>
                <w:color w:val="000000"/>
                <w:sz w:val="24"/>
                <w:szCs w:val="24"/>
              </w:rPr>
              <w:t>建设规模</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bCs w:val="0"/>
                <w:color w:val="000000"/>
                <w:sz w:val="24"/>
                <w:szCs w:val="24"/>
              </w:rPr>
            </w:pPr>
            <w:r>
              <w:rPr>
                <w:rFonts w:hint="eastAsia" w:ascii="仿宋_GB2312" w:hAnsi="仿宋_GB2312" w:eastAsia="仿宋_GB2312" w:cs="仿宋_GB2312"/>
                <w:b/>
                <w:bCs w:val="0"/>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430"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主体工程</w:t>
            </w:r>
          </w:p>
        </w:tc>
        <w:tc>
          <w:tcPr>
            <w:tcW w:w="318"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危废暂存间</w:t>
            </w:r>
          </w:p>
        </w:tc>
        <w:tc>
          <w:tcPr>
            <w:tcW w:w="49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1#危废间</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集装箱结构，占地面积13m</w:t>
            </w:r>
            <w:r>
              <w:rPr>
                <w:rFonts w:hint="eastAsia" w:ascii="仿宋_GB2312" w:hAnsi="仿宋_GB2312" w:eastAsia="仿宋_GB2312" w:cs="仿宋_GB2312"/>
                <w:b w:val="0"/>
                <w:bCs/>
                <w:color w:val="000000"/>
                <w:sz w:val="24"/>
                <w:szCs w:val="24"/>
                <w:vertAlign w:val="superscript"/>
              </w:rPr>
              <w:t>2</w:t>
            </w:r>
            <w:r>
              <w:rPr>
                <w:rFonts w:hint="eastAsia" w:ascii="仿宋_GB2312" w:hAnsi="仿宋_GB2312" w:eastAsia="仿宋_GB2312" w:cs="仿宋_GB2312"/>
                <w:b w:val="0"/>
                <w:bCs/>
                <w:color w:val="000000"/>
                <w:sz w:val="24"/>
                <w:szCs w:val="24"/>
              </w:rPr>
              <w:t>，设置有防渗、内部收集沟、收集池在危废间外、应急桶配置、标识标牌建设、台账管理，主要储存废矿物油（HW08）。</w:t>
            </w:r>
          </w:p>
        </w:tc>
        <w:tc>
          <w:tcPr>
            <w:tcW w:w="1194"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利用集装箱改造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3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31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49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2#危废间</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集装箱结构，占地面积13m</w:t>
            </w:r>
            <w:r>
              <w:rPr>
                <w:rFonts w:hint="eastAsia" w:ascii="仿宋_GB2312" w:hAnsi="仿宋_GB2312" w:eastAsia="仿宋_GB2312" w:cs="仿宋_GB2312"/>
                <w:b w:val="0"/>
                <w:bCs/>
                <w:color w:val="000000"/>
                <w:sz w:val="24"/>
                <w:szCs w:val="24"/>
                <w:vertAlign w:val="superscript"/>
              </w:rPr>
              <w:t>2</w:t>
            </w:r>
            <w:r>
              <w:rPr>
                <w:rFonts w:hint="eastAsia" w:ascii="仿宋_GB2312" w:hAnsi="仿宋_GB2312" w:eastAsia="仿宋_GB2312" w:cs="仿宋_GB2312"/>
                <w:b w:val="0"/>
                <w:bCs/>
                <w:color w:val="000000"/>
                <w:sz w:val="24"/>
                <w:szCs w:val="24"/>
              </w:rPr>
              <w:t>，设置有防渗、内部收集沟、收集池在危废间外、应急桶配置、标识标牌建设、台账管理，主要储存实验室废物（HW49）、实验室空瓶（HW49）。</w:t>
            </w:r>
          </w:p>
        </w:tc>
        <w:tc>
          <w:tcPr>
            <w:tcW w:w="1194"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3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318"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49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3#危废间</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采用钢结构，占地面积为27m</w:t>
            </w:r>
            <w:r>
              <w:rPr>
                <w:rFonts w:hint="eastAsia" w:ascii="仿宋_GB2312" w:hAnsi="仿宋_GB2312" w:eastAsia="仿宋_GB2312" w:cs="仿宋_GB2312"/>
                <w:b w:val="0"/>
                <w:bCs/>
                <w:color w:val="000000"/>
                <w:sz w:val="24"/>
                <w:szCs w:val="24"/>
                <w:vertAlign w:val="superscript"/>
              </w:rPr>
              <w:t>2</w:t>
            </w:r>
            <w:r>
              <w:rPr>
                <w:rFonts w:hint="eastAsia" w:ascii="仿宋_GB2312" w:hAnsi="仿宋_GB2312" w:eastAsia="仿宋_GB2312" w:cs="仿宋_GB2312"/>
                <w:b w:val="0"/>
                <w:bCs/>
                <w:color w:val="000000"/>
                <w:sz w:val="24"/>
                <w:szCs w:val="24"/>
              </w:rPr>
              <w:t>，设置有防渗、内部收集沟、收集池在危废间内、应急桶配置、标识标牌建设、台账管理，主要储存废弃包装物、容器（HW49）。</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采用钢结构搭建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430"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辅助工程</w:t>
            </w: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辅助设施</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项目设有配套的通讯、照明、消防设施</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430"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公用工程</w:t>
            </w: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供水</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本项目无需用水</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9" w:hRule="atLeast"/>
          <w:jc w:val="center"/>
        </w:trPr>
        <w:tc>
          <w:tcPr>
            <w:tcW w:w="43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排水</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本项目无生产废水产生，且无新增人员，危险废物暂存间使用及管理人员均为厂内现有人员统一调配，故不新增生活污水</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供电</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依托电厂现有工程</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430"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环保工程</w:t>
            </w: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废气处理</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设有3台排气扇，位于危废间墙壁上，无组织排放</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43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危险废物</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交有资质单位清运、处置</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43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噪声治理</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风机选用低噪设备，并采用绿化消音、围墙隔声</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430"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p>
        </w:tc>
        <w:tc>
          <w:tcPr>
            <w:tcW w:w="811" w:type="pct"/>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环境风险</w:t>
            </w:r>
          </w:p>
        </w:tc>
        <w:tc>
          <w:tcPr>
            <w:tcW w:w="2563"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危废库做好防风、防雨、防晒措施，地面、墙裙等并做好防渗，防止事故状态下收集桶废液泄漏至地下水体，项目共设置3个1m×0.5m×0.8m=0.4m</w:t>
            </w:r>
            <w:r>
              <w:rPr>
                <w:rFonts w:hint="eastAsia" w:ascii="仿宋_GB2312" w:hAnsi="仿宋_GB2312" w:eastAsia="仿宋_GB2312" w:cs="仿宋_GB2312"/>
                <w:b w:val="0"/>
                <w:bCs/>
                <w:color w:val="000000"/>
                <w:sz w:val="24"/>
                <w:szCs w:val="24"/>
                <w:vertAlign w:val="superscript"/>
              </w:rPr>
              <w:t>3</w:t>
            </w:r>
            <w:r>
              <w:rPr>
                <w:rFonts w:hint="eastAsia" w:ascii="仿宋_GB2312" w:hAnsi="仿宋_GB2312" w:eastAsia="仿宋_GB2312" w:cs="仿宋_GB2312"/>
                <w:b w:val="0"/>
                <w:bCs/>
                <w:color w:val="000000"/>
                <w:sz w:val="24"/>
                <w:szCs w:val="24"/>
              </w:rPr>
              <w:t>泄漏收集池，每个危废间各设置1个；收集桶设置警示标志等。</w:t>
            </w:r>
          </w:p>
        </w:tc>
        <w:tc>
          <w:tcPr>
            <w:tcW w:w="1194" w:type="pct"/>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b w:val="0"/>
                <w:bCs/>
                <w:color w:val="000000"/>
                <w:sz w:val="24"/>
                <w:szCs w:val="24"/>
              </w:rPr>
            </w:pPr>
            <w:r>
              <w:rPr>
                <w:rFonts w:hint="eastAsia" w:ascii="仿宋_GB2312" w:hAnsi="仿宋_GB2312" w:eastAsia="仿宋_GB2312" w:cs="仿宋_GB2312"/>
                <w:b w:val="0"/>
                <w:bCs/>
                <w:color w:val="000000"/>
                <w:sz w:val="24"/>
                <w:szCs w:val="24"/>
              </w:rPr>
              <w:t>/</w:t>
            </w:r>
          </w:p>
        </w:tc>
      </w:tr>
    </w:tbl>
    <w:p>
      <w:pPr>
        <w:pStyle w:val="34"/>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Times New Roman" w:hAnsi="Times New Roman" w:eastAsia="仿宋_GB2312" w:cs="Times New Roman"/>
          <w:color w:val="000000"/>
          <w:sz w:val="32"/>
          <w:szCs w:val="32"/>
          <w:lang w:val="en-US" w:eastAsia="zh-CN"/>
        </w:rPr>
      </w:pPr>
      <w:r>
        <w:rPr>
          <w:rFonts w:hint="eastAsia" w:ascii="仿宋_GB2312" w:hAnsi="仿宋_GB2312" w:eastAsia="仿宋_GB2312" w:cs="仿宋_GB2312"/>
          <w:color w:val="000000"/>
          <w:sz w:val="32"/>
          <w:szCs w:val="32"/>
          <w:lang w:eastAsia="zh-CN"/>
        </w:rPr>
        <w:t>项目只收集、暂存中纺粮油（湛江）工业有限公司内部产生的危险废物，不涉及危险废物的处置与加工再利用，废矿物油（</w:t>
      </w:r>
      <w:r>
        <w:rPr>
          <w:rFonts w:hint="eastAsia" w:ascii="仿宋_GB2312" w:hAnsi="仿宋_GB2312" w:eastAsia="仿宋_GB2312" w:cs="仿宋_GB2312"/>
          <w:color w:val="000000"/>
          <w:sz w:val="32"/>
          <w:szCs w:val="32"/>
          <w:lang w:val="en-US" w:eastAsia="zh-CN"/>
        </w:rPr>
        <w:t>HW08</w:t>
      </w:r>
      <w:r>
        <w:rPr>
          <w:rFonts w:hint="eastAsia" w:ascii="仿宋_GB2312" w:hAnsi="仿宋_GB2312" w:eastAsia="仿宋_GB2312" w:cs="仿宋_GB2312"/>
          <w:color w:val="000000"/>
          <w:sz w:val="32"/>
          <w:szCs w:val="32"/>
          <w:lang w:eastAsia="zh-CN"/>
        </w:rPr>
        <w:t>）交由湛江市鸿达石化有限公司回收处理，实验室废物（</w:t>
      </w:r>
      <w:r>
        <w:rPr>
          <w:rFonts w:hint="eastAsia" w:ascii="仿宋_GB2312" w:hAnsi="仿宋_GB2312" w:eastAsia="仿宋_GB2312" w:cs="仿宋_GB2312"/>
          <w:color w:val="000000"/>
          <w:sz w:val="32"/>
          <w:szCs w:val="32"/>
          <w:lang w:val="en-US" w:eastAsia="zh-CN"/>
        </w:rPr>
        <w:t>HW49</w:t>
      </w:r>
      <w:r>
        <w:rPr>
          <w:rFonts w:hint="eastAsia" w:ascii="仿宋_GB2312" w:hAnsi="仿宋_GB2312" w:eastAsia="仿宋_GB2312" w:cs="仿宋_GB2312"/>
          <w:color w:val="000000"/>
          <w:sz w:val="32"/>
          <w:szCs w:val="32"/>
          <w:lang w:eastAsia="zh-CN"/>
        </w:rPr>
        <w:t>）、实验室空瓶、废机油抹布、废油漆桶和废油桶（盛装矿物油）交由湛江市粤绿环保科技有限公司回收处理。总投资</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0万元，其中环保投资</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lang w:eastAsia="zh-CN"/>
        </w:rPr>
        <w:t>万元，环保投资占总投资</w:t>
      </w:r>
      <w:r>
        <w:rPr>
          <w:rFonts w:hint="eastAsia" w:ascii="仿宋_GB2312" w:hAnsi="仿宋_GB2312" w:eastAsia="仿宋_GB2312" w:cs="仿宋_GB2312"/>
          <w:color w:val="000000"/>
          <w:sz w:val="32"/>
          <w:szCs w:val="32"/>
          <w:lang w:val="en-US" w:eastAsia="zh-CN"/>
        </w:rPr>
        <w:t>100%，项目</w:t>
      </w:r>
      <w:r>
        <w:rPr>
          <w:rFonts w:hint="eastAsia" w:ascii="仿宋_GB2312" w:hAnsi="仿宋_GB2312" w:eastAsia="仿宋_GB2312" w:cs="仿宋_GB2312"/>
          <w:color w:val="000000"/>
          <w:sz w:val="32"/>
          <w:szCs w:val="32"/>
          <w:lang w:eastAsia="zh-CN"/>
        </w:rPr>
        <w:t>无新增工作人员，</w:t>
      </w:r>
      <w:r>
        <w:rPr>
          <w:rFonts w:hint="eastAsia" w:ascii="仿宋_GB2312" w:hAnsi="仿宋_GB2312" w:eastAsia="仿宋_GB2312" w:cs="仿宋_GB2312"/>
          <w:color w:val="000000"/>
          <w:sz w:val="32"/>
          <w:szCs w:val="32"/>
          <w:lang w:val="en-US" w:eastAsia="zh-CN"/>
        </w:rPr>
        <w:t>年工作300天，一天三班制，每班8小时</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的评价结论及湛江市生态环境技术中心《关于中纺粮油（湛江）工业有限公司危险废物暂存间项目环境影响报告表的评估意见》（湛环技评表〔202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的审查，你公司应按照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该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项目须加强危险废物的管理。1.严格按照《危险废物贮存污染控制标准》（GB18597-2001及其2013年修改单）中的相关规定设计建设危险废物暂存间，满足防雨、防渗、防风、防晒、防漏等要求；2.危险废物须交由有资质的单位进行安全处置；3.建立危险废物管理台账，如实记录产生固体废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（三）该项目</w:t>
      </w:r>
      <w:r>
        <w:rPr>
          <w:rFonts w:hint="eastAsia" w:ascii="Times New Roman" w:hAnsi="Times New Roman" w:eastAsia="仿宋_GB2312" w:cs="Times New Roman"/>
          <w:color w:val="000000"/>
          <w:sz w:val="32"/>
          <w:szCs w:val="32"/>
          <w:lang w:val="en-US" w:eastAsia="zh-CN"/>
        </w:rPr>
        <w:t>无组织排放的</w:t>
      </w:r>
      <w:r>
        <w:rPr>
          <w:rFonts w:hint="default" w:ascii="Times New Roman" w:hAnsi="Times New Roman" w:eastAsia="仿宋_GB2312" w:cs="Times New Roman"/>
          <w:color w:val="000000"/>
          <w:sz w:val="32"/>
          <w:szCs w:val="32"/>
          <w:lang w:val="en-US" w:eastAsia="zh-CN"/>
        </w:rPr>
        <w:t>非甲烷总烃</w:t>
      </w:r>
      <w:r>
        <w:rPr>
          <w:rFonts w:hint="eastAsia"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val="en-US" w:eastAsia="zh-CN"/>
        </w:rPr>
        <w:t>硫酸雾和氯化氢</w:t>
      </w:r>
      <w:r>
        <w:rPr>
          <w:rFonts w:hint="eastAsia" w:ascii="Times New Roman" w:hAnsi="Times New Roman" w:eastAsia="仿宋_GB2312" w:cs="Times New Roman"/>
          <w:color w:val="000000"/>
          <w:sz w:val="32"/>
          <w:szCs w:val="32"/>
          <w:lang w:val="en-US" w:eastAsia="zh-CN"/>
        </w:rPr>
        <w:t>执行</w:t>
      </w:r>
      <w:r>
        <w:rPr>
          <w:rFonts w:hint="default" w:ascii="Times New Roman" w:hAnsi="Times New Roman" w:eastAsia="仿宋_GB2312" w:cs="Times New Roman"/>
          <w:color w:val="000000"/>
          <w:sz w:val="32"/>
          <w:szCs w:val="32"/>
          <w:lang w:val="en-US" w:eastAsia="zh-CN"/>
        </w:rPr>
        <w:t>广东省《大气污染物排放限值》（DB44/27- 2001）中第二时段无组织排放监控浓度限值，厂界臭气浓度</w:t>
      </w:r>
      <w:r>
        <w:rPr>
          <w:rFonts w:hint="eastAsia" w:ascii="Times New Roman" w:hAnsi="Times New Roman" w:eastAsia="仿宋_GB2312" w:cs="Times New Roman"/>
          <w:color w:val="000000"/>
          <w:sz w:val="32"/>
          <w:szCs w:val="32"/>
          <w:lang w:val="en-US" w:eastAsia="zh-CN"/>
        </w:rPr>
        <w:t>执行</w:t>
      </w:r>
      <w:r>
        <w:rPr>
          <w:rFonts w:hint="default" w:ascii="Times New Roman" w:hAnsi="Times New Roman" w:eastAsia="仿宋_GB2312" w:cs="Times New Roman"/>
          <w:color w:val="000000"/>
          <w:sz w:val="32"/>
          <w:szCs w:val="32"/>
          <w:lang w:val="en-US" w:eastAsia="zh-CN"/>
        </w:rPr>
        <w:t>《恶臭污染物排放标准》（GB14554-93）表1二级新扩改建标准</w:t>
      </w:r>
      <w:r>
        <w:rPr>
          <w:rFonts w:hint="eastAsia"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val="en-US" w:eastAsia="zh-CN"/>
        </w:rPr>
        <w:t>厂区内</w:t>
      </w:r>
      <w:r>
        <w:rPr>
          <w:rFonts w:hint="eastAsia" w:ascii="Times New Roman" w:hAnsi="Times New Roman" w:eastAsia="仿宋_GB2312" w:cs="Times New Roman"/>
          <w:color w:val="000000"/>
          <w:sz w:val="32"/>
          <w:szCs w:val="32"/>
          <w:lang w:val="en-US" w:eastAsia="zh-CN"/>
        </w:rPr>
        <w:t>NMHC</w:t>
      </w:r>
      <w:r>
        <w:rPr>
          <w:rFonts w:hint="default" w:ascii="Times New Roman" w:hAnsi="Times New Roman" w:eastAsia="仿宋_GB2312" w:cs="Times New Roman"/>
          <w:color w:val="000000"/>
          <w:sz w:val="32"/>
          <w:szCs w:val="32"/>
          <w:lang w:val="en-US" w:eastAsia="zh-CN"/>
        </w:rPr>
        <w:t>无组织排放</w:t>
      </w:r>
      <w:r>
        <w:rPr>
          <w:rFonts w:hint="eastAsia" w:ascii="Times New Roman" w:hAnsi="Times New Roman" w:eastAsia="仿宋_GB2312" w:cs="Times New Roman"/>
          <w:color w:val="000000"/>
          <w:sz w:val="32"/>
          <w:szCs w:val="32"/>
          <w:lang w:val="en-US" w:eastAsia="zh-CN"/>
        </w:rPr>
        <w:t>执行</w:t>
      </w:r>
      <w:r>
        <w:rPr>
          <w:rFonts w:hint="default" w:ascii="Times New Roman" w:hAnsi="Times New Roman" w:eastAsia="仿宋_GB2312" w:cs="Times New Roman"/>
          <w:color w:val="000000"/>
          <w:sz w:val="32"/>
          <w:szCs w:val="32"/>
          <w:lang w:val="en-US" w:eastAsia="zh-CN"/>
        </w:rPr>
        <w:t>《挥发性有机物无组织排放控制标准》（GB37822-2019）特别排放限值</w:t>
      </w:r>
      <w:r>
        <w:rPr>
          <w:rFonts w:hint="eastAsia" w:ascii="Times New Roman" w:hAnsi="Times New Roman" w:eastAsia="仿宋_GB2312" w:cs="Times New Roman"/>
          <w:color w:val="000000"/>
          <w:sz w:val="32"/>
          <w:szCs w:val="32"/>
          <w:lang w:val="en-US" w:eastAsia="zh-CN"/>
        </w:rPr>
        <w:t>要求，</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、若项目的性质、规模、地点、工艺或者防治污染的措施发生重大变动，应重新报批项目的环境影响评价文件。</w:t>
      </w:r>
    </w:p>
    <w:p>
      <w:pPr>
        <w:keepNext w:val="0"/>
        <w:keepLines w:val="0"/>
        <w:pageBreakBefore w:val="0"/>
        <w:widowControl w:val="0"/>
        <w:kinsoku/>
        <w:wordWrap/>
        <w:overflowPunct/>
        <w:topLinePunct w:val="0"/>
        <w:bidi w:val="0"/>
        <w:adjustRightInd/>
        <w:snapToGrid/>
        <w:spacing w:line="580" w:lineRule="exact"/>
        <w:textAlignment w:val="auto"/>
        <w:rPr>
          <w:rFonts w:hint="eastAsia" w:ascii="仿宋_GB2312" w:hAnsi="仿宋_GB2312" w:eastAsia="仿宋_GB2312" w:cs="仿宋_GB2312"/>
        </w:rPr>
      </w:pPr>
    </w:p>
    <w:p>
      <w:pPr>
        <w:pStyle w:val="2"/>
        <w:keepNext w:val="0"/>
        <w:keepLines w:val="0"/>
        <w:pageBreakBefore w:val="0"/>
        <w:kinsoku/>
        <w:wordWrap/>
        <w:overflowPunct/>
        <w:topLinePunct w:val="0"/>
        <w:bidi w:val="0"/>
        <w:snapToGrid/>
        <w:spacing w:line="580" w:lineRule="exact"/>
        <w:textAlignment w:val="auto"/>
        <w:rPr>
          <w:rFonts w:hint="eastAsia" w:ascii="仿宋_GB2312" w:hAnsi="仿宋_GB2312" w:eastAsia="仿宋_GB2312" w:cs="仿宋_GB2312"/>
        </w:rPr>
      </w:pPr>
    </w:p>
    <w:p>
      <w:pPr>
        <w:pStyle w:val="20"/>
        <w:keepNext w:val="0"/>
        <w:keepLines w:val="0"/>
        <w:pageBreakBefore w:val="0"/>
        <w:widowControl w:val="0"/>
        <w:kinsoku/>
        <w:wordWrap/>
        <w:overflowPunct/>
        <w:topLinePunct w:val="0"/>
        <w:autoSpaceDE/>
        <w:autoSpaceDN/>
        <w:bidi w:val="0"/>
        <w:adjustRightInd/>
        <w:snapToGrid/>
        <w:spacing w:line="580" w:lineRule="exact"/>
        <w:ind w:left="0" w:leftChars="0" w:right="629" w:rightChars="0" w:firstLine="0" w:firstLineChars="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adjustRightInd/>
        <w:snapToGrid/>
        <w:spacing w:line="580" w:lineRule="exact"/>
        <w:ind w:left="4469" w:leftChars="2128"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2022年7月18日</w:t>
      </w: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1"/>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C7469"/>
    <w:multiLevelType w:val="singleLevel"/>
    <w:tmpl w:val="617C7469"/>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22C47A7"/>
    <w:rsid w:val="043A1A7E"/>
    <w:rsid w:val="09077E78"/>
    <w:rsid w:val="0A13354D"/>
    <w:rsid w:val="0B187C8B"/>
    <w:rsid w:val="0EE7640C"/>
    <w:rsid w:val="10C65629"/>
    <w:rsid w:val="13E8376E"/>
    <w:rsid w:val="1DF77A3F"/>
    <w:rsid w:val="1E9E08B2"/>
    <w:rsid w:val="25776CA5"/>
    <w:rsid w:val="28E40D21"/>
    <w:rsid w:val="2D090BF7"/>
    <w:rsid w:val="30646C80"/>
    <w:rsid w:val="3BEE10C4"/>
    <w:rsid w:val="3E847D70"/>
    <w:rsid w:val="45986459"/>
    <w:rsid w:val="461116BA"/>
    <w:rsid w:val="49710C22"/>
    <w:rsid w:val="50A1686B"/>
    <w:rsid w:val="513B5092"/>
    <w:rsid w:val="526B2160"/>
    <w:rsid w:val="581466B3"/>
    <w:rsid w:val="5CDE636C"/>
    <w:rsid w:val="68360B26"/>
    <w:rsid w:val="6AFB3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qFormat="1" w:unhideWhenUsed="0" w:uiPriority="0" w:semiHidden="0"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tabs>
        <w:tab w:val="left" w:pos="0"/>
        <w:tab w:val="left" w:pos="360"/>
        <w:tab w:val="left" w:pos="540"/>
        <w:tab w:val="left" w:pos="567"/>
      </w:tabs>
      <w:spacing w:line="312" w:lineRule="auto"/>
      <w:ind w:firstLine="567"/>
    </w:pPr>
    <w:rPr>
      <w:rFonts w:ascii="宋体" w:hAnsi="Times New Roman" w:eastAsia="宋体" w:cs="Times New Roman"/>
      <w:sz w:val="28"/>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280" w:after="280" w:line="240" w:lineRule="auto"/>
      <w:ind w:firstLine="0"/>
    </w:pPr>
    <w:rPr>
      <w:rFonts w:ascii="Times New Roman" w:hAnsi="Times New Roman" w:eastAsia="宋体" w:cs="Times New Roman"/>
      <w:sz w:val="21"/>
    </w:rPr>
  </w:style>
  <w:style w:type="paragraph" w:styleId="7">
    <w:name w:val="toc 2"/>
    <w:basedOn w:val="1"/>
    <w:next w:val="8"/>
    <w:qFormat/>
    <w:uiPriority w:val="0"/>
    <w:pPr>
      <w:ind w:left="210"/>
      <w:jc w:val="left"/>
    </w:pPr>
    <w:rPr>
      <w:rFonts w:ascii="Calibri" w:hAnsi="Calibri" w:eastAsia="宋体" w:cs="Calibri"/>
      <w:smallCaps/>
      <w:sz w:val="20"/>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unhideWhenUsed/>
    <w:qFormat/>
    <w:uiPriority w:val="0"/>
    <w:pPr>
      <w:jc w:val="center"/>
    </w:pPr>
    <w:rPr>
      <w:sz w:val="24"/>
      <w:szCs w:val="28"/>
    </w:rPr>
  </w:style>
  <w:style w:type="paragraph" w:styleId="14">
    <w:name w:val="List Bullet 2"/>
    <w:basedOn w:val="1"/>
    <w:next w:val="15"/>
    <w:semiHidden/>
    <w:unhideWhenUsed/>
    <w:qFormat/>
    <w:uiPriority w:val="99"/>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8">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19">
    <w:name w:val="annotation text"/>
    <w:basedOn w:val="1"/>
    <w:qFormat/>
    <w:uiPriority w:val="0"/>
    <w:pPr>
      <w:jc w:val="left"/>
    </w:pPr>
  </w:style>
  <w:style w:type="paragraph" w:styleId="20">
    <w:name w:val="Body Text"/>
    <w:basedOn w:val="1"/>
    <w:qFormat/>
    <w:uiPriority w:val="0"/>
    <w:pPr>
      <w:spacing w:line="0" w:lineRule="atLeast"/>
    </w:pPr>
    <w:rPr>
      <w:rFonts w:eastAsia="小标宋"/>
      <w:sz w:val="44"/>
    </w:rPr>
  </w:style>
  <w:style w:type="paragraph" w:styleId="21">
    <w:name w:val="footer"/>
    <w:basedOn w:val="1"/>
    <w:semiHidden/>
    <w:unhideWhenUsed/>
    <w:qFormat/>
    <w:uiPriority w:val="99"/>
    <w:pPr>
      <w:tabs>
        <w:tab w:val="center" w:pos="4153"/>
        <w:tab w:val="right" w:pos="8306"/>
      </w:tabs>
      <w:snapToGrid w:val="0"/>
      <w:jc w:val="left"/>
    </w:pPr>
    <w:rPr>
      <w:sz w:val="18"/>
    </w:rPr>
  </w:style>
  <w:style w:type="paragraph" w:styleId="2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3">
    <w:name w:val="Body Text First Indent"/>
    <w:basedOn w:val="20"/>
    <w:next w:val="1"/>
    <w:qFormat/>
    <w:uiPriority w:val="0"/>
    <w:pPr>
      <w:spacing w:after="120" w:line="240" w:lineRule="auto"/>
      <w:ind w:firstLine="420" w:firstLineChars="100"/>
    </w:pPr>
    <w:rPr>
      <w:rFonts w:eastAsia="仿宋_GB2312"/>
      <w:sz w:val="32"/>
    </w:rPr>
  </w:style>
  <w:style w:type="paragraph" w:styleId="24">
    <w:name w:val="Body Text First Indent 2"/>
    <w:basedOn w:val="10"/>
    <w:qFormat/>
    <w:uiPriority w:val="0"/>
    <w:pPr>
      <w:ind w:firstLine="420" w:firstLineChars="200"/>
    </w:pPr>
  </w:style>
  <w:style w:type="table" w:styleId="26">
    <w:name w:val="Table Grid"/>
    <w:basedOn w:val="2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8">
    <w:name w:val="纯文本1"/>
    <w:basedOn w:val="1"/>
    <w:qFormat/>
    <w:uiPriority w:val="0"/>
    <w:pPr>
      <w:adjustRightInd w:val="0"/>
    </w:pPr>
    <w:rPr>
      <w:rFonts w:ascii="宋体" w:hAnsi="Courier New"/>
      <w:szCs w:val="20"/>
    </w:rPr>
  </w:style>
  <w:style w:type="paragraph" w:customStyle="1" w:styleId="29">
    <w:name w:val="样式26"/>
    <w:basedOn w:val="30"/>
    <w:qFormat/>
    <w:uiPriority w:val="0"/>
    <w:pPr>
      <w:tabs>
        <w:tab w:val="left" w:pos="0"/>
        <w:tab w:val="left" w:pos="360"/>
        <w:tab w:val="left" w:pos="540"/>
        <w:tab w:val="left" w:pos="567"/>
      </w:tabs>
    </w:pPr>
  </w:style>
  <w:style w:type="paragraph" w:customStyle="1" w:styleId="30">
    <w:name w:val="样式21"/>
    <w:basedOn w:val="31"/>
    <w:qFormat/>
    <w:uiPriority w:val="0"/>
    <w:pPr>
      <w:tabs>
        <w:tab w:val="left" w:pos="360"/>
        <w:tab w:val="left" w:pos="567"/>
      </w:tabs>
      <w:spacing w:before="120" w:beforeLines="0" w:after="120" w:afterLines="0"/>
      <w:ind w:hanging="992"/>
    </w:pPr>
    <w:rPr>
      <w:kern w:val="0"/>
    </w:rPr>
  </w:style>
  <w:style w:type="paragraph" w:customStyle="1" w:styleId="31">
    <w:name w:val="样式5"/>
    <w:basedOn w:val="32"/>
    <w:qFormat/>
    <w:uiPriority w:val="0"/>
    <w:pPr>
      <w:tabs>
        <w:tab w:val="left" w:pos="360"/>
        <w:tab w:val="left" w:pos="567"/>
      </w:tabs>
      <w:ind w:hanging="567" w:firstLineChars="0"/>
    </w:pPr>
    <w:rPr>
      <w:rFonts w:cs="Times New Roman"/>
    </w:rPr>
  </w:style>
  <w:style w:type="paragraph" w:customStyle="1" w:styleId="3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33">
    <w:name w:val="样式 方正小标宋简体 小二 居中 行距: 固定值 22 磅"/>
    <w:basedOn w:val="1"/>
    <w:qFormat/>
    <w:uiPriority w:val="0"/>
    <w:pPr>
      <w:jc w:val="center"/>
    </w:pPr>
    <w:rPr>
      <w:rFonts w:ascii="方正小标宋简体" w:eastAsia="方正小标宋简体" w:cs="宋体"/>
      <w:sz w:val="36"/>
      <w:szCs w:val="20"/>
    </w:rPr>
  </w:style>
  <w:style w:type="paragraph" w:customStyle="1" w:styleId="34">
    <w:name w:val="报告表正文"/>
    <w:basedOn w:val="1"/>
    <w:qFormat/>
    <w:uiPriority w:val="0"/>
    <w:pPr>
      <w:widowControl/>
      <w:spacing w:line="360" w:lineRule="auto"/>
      <w:ind w:firstLine="200" w:firstLineChars="200"/>
    </w:pPr>
    <w:rPr>
      <w:color w:val="FF00FF"/>
      <w:sz w:val="24"/>
      <w:szCs w:val="24"/>
    </w:rPr>
  </w:style>
  <w:style w:type="paragraph" w:customStyle="1" w:styleId="35">
    <w:name w:val="zxx表格"/>
    <w:basedOn w:val="1"/>
    <w:qFormat/>
    <w:uiPriority w:val="0"/>
    <w:pPr>
      <w:spacing w:line="240" w:lineRule="auto"/>
      <w:jc w:val="center"/>
    </w:pPr>
    <w:rPr>
      <w:rFonts w:ascii="Times New Roman" w:hAnsi="Times New Roman"/>
    </w:rPr>
  </w:style>
  <w:style w:type="paragraph" w:customStyle="1" w:styleId="36">
    <w:name w:val="表内"/>
    <w:qFormat/>
    <w:uiPriority w:val="0"/>
    <w:pPr>
      <w:adjustRightInd w:val="0"/>
      <w:snapToGrid w:val="0"/>
      <w:ind w:left="-105" w:leftChars="-50" w:rightChars="-50"/>
      <w:jc w:val="center"/>
    </w:pPr>
    <w:rPr>
      <w:rFonts w:ascii="Times New Roman" w:hAnsi="Times New Roman" w:eastAsia="宋体" w:cs="Times New Roman"/>
      <w:sz w:val="21"/>
      <w:lang w:val="en-US" w:eastAsia="zh-CN" w:bidi="ar-SA"/>
    </w:rPr>
  </w:style>
  <w:style w:type="paragraph" w:styleId="37">
    <w:name w:val="No Spacing"/>
    <w:qFormat/>
    <w:uiPriority w:val="0"/>
    <w:pPr>
      <w:adjustRightInd w:val="0"/>
      <w:snapToGrid w:val="0"/>
    </w:pPr>
    <w:rPr>
      <w:rFonts w:ascii="Tahoma" w:hAnsi="Tahoma" w:eastAsia="微软雅黑" w:cs="Times New Roman"/>
      <w:sz w:val="22"/>
      <w:szCs w:val="22"/>
      <w:lang w:val="en-US" w:eastAsia="zh-CN" w:bidi="ar-SA"/>
    </w:rPr>
  </w:style>
  <w:style w:type="paragraph" w:customStyle="1" w:styleId="38">
    <w:name w:val="表格文字"/>
    <w:basedOn w:val="23"/>
    <w:next w:val="1"/>
    <w:qFormat/>
    <w:uiPriority w:val="0"/>
    <w:pPr>
      <w:spacing w:after="0" w:line="320" w:lineRule="exact"/>
      <w:jc w:val="center"/>
    </w:pPr>
    <w:rPr>
      <w:rFonts w:ascii="宋体"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1498</Words>
  <Characters>1614</Characters>
  <Lines>4</Lines>
  <Paragraphs>1</Paragraphs>
  <TotalTime>1</TotalTime>
  <ScaleCrop>false</ScaleCrop>
  <LinksUpToDate>false</LinksUpToDate>
  <CharactersWithSpaces>1641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2022-05-25T07:29:00Z</cp:lastPrinted>
  <dcterms:modified xsi:type="dcterms:W3CDTF">2022-07-19T14:26:12Z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B9C98529D76248FDB7C85742E71A0680</vt:lpwstr>
  </property>
</Properties>
</file>